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C9A7" w14:textId="77777777" w:rsidR="001208A8" w:rsidRDefault="008072F6" w:rsidP="001208A8">
      <w:pPr>
        <w:keepNext/>
        <w:keepLines/>
        <w:tabs>
          <w:tab w:val="center" w:pos="4526"/>
          <w:tab w:val="center" w:pos="5777"/>
          <w:tab w:val="center" w:pos="8537"/>
        </w:tabs>
        <w:spacing w:after="0" w:line="240" w:lineRule="auto"/>
        <w:jc w:val="both"/>
        <w:outlineLvl w:val="4"/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</w:pPr>
      <w:r w:rsidRPr="00703F29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 xml:space="preserve">AKCIONI PLAN ZA </w:t>
      </w:r>
      <w:r w:rsidR="00E36393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 xml:space="preserve">ZAŠTITU ŽIVOTNE SREDINE I </w:t>
      </w:r>
      <w:r w:rsidR="001208A8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>DRUŠTVENA</w:t>
      </w:r>
      <w:r w:rsidR="00E36393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 xml:space="preserve"> PITANJA</w:t>
      </w:r>
      <w:r w:rsidRPr="00703F29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>-</w:t>
      </w:r>
      <w:r w:rsidR="001208A8"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 xml:space="preserve">Projekat rekonstrukcije magistralnih puteva, rekonstrukcija i izgradnja dionice puta </w:t>
      </w:r>
    </w:p>
    <w:p w14:paraId="37A38D1F" w14:textId="5020612D" w:rsidR="004F777D" w:rsidRPr="00703F29" w:rsidRDefault="001208A8" w:rsidP="001208A8">
      <w:pPr>
        <w:keepNext/>
        <w:keepLines/>
        <w:tabs>
          <w:tab w:val="center" w:pos="4526"/>
          <w:tab w:val="center" w:pos="5777"/>
          <w:tab w:val="center" w:pos="8537"/>
        </w:tabs>
        <w:spacing w:after="0" w:line="240" w:lineRule="auto"/>
        <w:jc w:val="both"/>
        <w:outlineLvl w:val="4"/>
        <w:rPr>
          <w:rFonts w:ascii="Arial" w:hAnsi="Arial"/>
          <w:b/>
          <w:color w:val="00539B"/>
          <w:sz w:val="20"/>
          <w:lang w:val="sr-Latn-ME"/>
        </w:rPr>
      </w:pPr>
      <w:r>
        <w:rPr>
          <w:rFonts w:ascii="Corbel" w:hAnsi="Corbel" w:cs="Times New Roman"/>
          <w:b/>
          <w:bCs/>
          <w:color w:val="00539B"/>
          <w:sz w:val="20"/>
          <w:szCs w:val="20"/>
          <w:bdr w:val="none" w:sz="0" w:space="0" w:color="auto" w:frame="1"/>
          <w:lang w:val="sr-Latn-ME"/>
        </w:rPr>
        <w:t>Tivat-Jaz (Tranša 3)</w:t>
      </w:r>
    </w:p>
    <w:tbl>
      <w:tblPr>
        <w:tblStyle w:val="TableGrid"/>
        <w:tblpPr w:leftFromText="180" w:rightFromText="180" w:vertAnchor="text" w:tblpY="1"/>
        <w:tblOverlap w:val="never"/>
        <w:tblW w:w="15133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4"/>
        <w:gridCol w:w="3736"/>
        <w:gridCol w:w="2160"/>
        <w:gridCol w:w="1222"/>
        <w:gridCol w:w="2018"/>
        <w:gridCol w:w="1710"/>
        <w:gridCol w:w="2790"/>
        <w:gridCol w:w="823"/>
      </w:tblGrid>
      <w:tr w:rsidR="008072F6" w:rsidRPr="00703F29" w14:paraId="67534424" w14:textId="77777777" w:rsidTr="001208A8">
        <w:trPr>
          <w:tblHeader/>
        </w:trPr>
        <w:tc>
          <w:tcPr>
            <w:tcW w:w="674" w:type="dxa"/>
            <w:shd w:val="clear" w:color="auto" w:fill="00539B"/>
            <w:vAlign w:val="center"/>
          </w:tcPr>
          <w:p w14:paraId="1869B269" w14:textId="43D13FFA" w:rsidR="008072F6" w:rsidRPr="00703F29" w:rsidRDefault="008072F6" w:rsidP="008072F6">
            <w:pPr>
              <w:spacing w:before="60" w:after="60"/>
              <w:ind w:right="111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bookmarkStart w:id="0" w:name="_Hlk14866245"/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Br.</w:t>
            </w:r>
          </w:p>
        </w:tc>
        <w:tc>
          <w:tcPr>
            <w:tcW w:w="3736" w:type="dxa"/>
            <w:shd w:val="clear" w:color="auto" w:fill="00539B"/>
            <w:vAlign w:val="center"/>
          </w:tcPr>
          <w:p w14:paraId="29EE18F3" w14:textId="2E462126" w:rsidR="008072F6" w:rsidRPr="00703F29" w:rsidRDefault="008072F6" w:rsidP="008072F6">
            <w:pPr>
              <w:spacing w:before="60" w:after="60"/>
              <w:ind w:right="11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Postupak</w:t>
            </w:r>
          </w:p>
        </w:tc>
        <w:tc>
          <w:tcPr>
            <w:tcW w:w="2160" w:type="dxa"/>
            <w:shd w:val="clear" w:color="auto" w:fill="00539B"/>
            <w:vAlign w:val="center"/>
          </w:tcPr>
          <w:p w14:paraId="2E3FDB99" w14:textId="6EAF50F2" w:rsidR="008072F6" w:rsidRPr="00703F29" w:rsidRDefault="008072F6" w:rsidP="008072F6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 xml:space="preserve">Ekološki i </w:t>
            </w:r>
            <w:r w:rsidR="00BB3EFC"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društveni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 xml:space="preserve"> rizici (</w:t>
            </w:r>
            <w:r w:rsidR="001208A8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O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dgovornost/</w:t>
            </w:r>
            <w:r w:rsidR="001208A8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K</w:t>
            </w:r>
            <w:r w:rsid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oristi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)</w:t>
            </w:r>
          </w:p>
        </w:tc>
        <w:tc>
          <w:tcPr>
            <w:tcW w:w="1222" w:type="dxa"/>
            <w:shd w:val="clear" w:color="auto" w:fill="00539B"/>
            <w:vAlign w:val="center"/>
          </w:tcPr>
          <w:p w14:paraId="62D854B2" w14:textId="7588B96D" w:rsidR="008072F6" w:rsidRPr="00703F29" w:rsidRDefault="00703F29" w:rsidP="008072F6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U</w:t>
            </w:r>
            <w:r w:rsidR="008072F6"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 xml:space="preserve"> skladu sa</w:t>
            </w:r>
          </w:p>
        </w:tc>
        <w:tc>
          <w:tcPr>
            <w:tcW w:w="2018" w:type="dxa"/>
            <w:shd w:val="clear" w:color="auto" w:fill="00539B"/>
            <w:vAlign w:val="center"/>
          </w:tcPr>
          <w:p w14:paraId="203621E2" w14:textId="7AC8382F" w:rsidR="008072F6" w:rsidRPr="00703F29" w:rsidRDefault="008072F6" w:rsidP="008072F6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 xml:space="preserve">Resursi, </w:t>
            </w:r>
            <w:r w:rsid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I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nvesticione</w:t>
            </w:r>
            <w:r w:rsidRPr="00703F29">
              <w:rPr>
                <w:rFonts w:ascii="Segoe UI" w:hAnsi="Segoe UI" w:cs="Segoe UI"/>
                <w:color w:val="323130"/>
                <w:sz w:val="23"/>
                <w:szCs w:val="23"/>
                <w:lang w:val="sr-Latn-ME"/>
              </w:rPr>
              <w:t xml:space="preserve"> 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potrebe,</w:t>
            </w:r>
            <w:r w:rsid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O</w:t>
            </w: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dgovornost</w:t>
            </w:r>
          </w:p>
        </w:tc>
        <w:tc>
          <w:tcPr>
            <w:tcW w:w="1710" w:type="dxa"/>
            <w:shd w:val="clear" w:color="auto" w:fill="00539B"/>
            <w:vAlign w:val="center"/>
          </w:tcPr>
          <w:p w14:paraId="57BEA02F" w14:textId="6E523480" w:rsidR="008072F6" w:rsidRPr="00703F29" w:rsidRDefault="00703F29" w:rsidP="008072F6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Vremenski rok</w:t>
            </w:r>
          </w:p>
        </w:tc>
        <w:tc>
          <w:tcPr>
            <w:tcW w:w="2790" w:type="dxa"/>
            <w:shd w:val="clear" w:color="auto" w:fill="00539B"/>
            <w:vAlign w:val="center"/>
          </w:tcPr>
          <w:p w14:paraId="4714170C" w14:textId="1A7174EF" w:rsidR="008072F6" w:rsidRPr="00703F29" w:rsidRDefault="008072F6" w:rsidP="008072F6">
            <w:pPr>
              <w:tabs>
                <w:tab w:val="center" w:pos="2864"/>
                <w:tab w:val="center" w:pos="4851"/>
              </w:tabs>
              <w:spacing w:before="60" w:after="60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Kriterijumi</w:t>
            </w:r>
            <w:r w:rsidRPr="00703F29">
              <w:rPr>
                <w:rFonts w:ascii="Segoe UI" w:hAnsi="Segoe UI" w:cs="Segoe UI"/>
                <w:color w:val="323130"/>
                <w:sz w:val="23"/>
                <w:szCs w:val="23"/>
                <w:lang w:val="sr-Latn-ME"/>
              </w:rPr>
              <w:t xml:space="preserve"> </w:t>
            </w:r>
            <w:r w:rsid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uspješne implementacije</w:t>
            </w:r>
          </w:p>
        </w:tc>
        <w:tc>
          <w:tcPr>
            <w:tcW w:w="823" w:type="dxa"/>
            <w:shd w:val="clear" w:color="auto" w:fill="00539B"/>
            <w:vAlign w:val="center"/>
          </w:tcPr>
          <w:p w14:paraId="68C4F761" w14:textId="63171FF8" w:rsidR="008072F6" w:rsidRPr="00703F29" w:rsidRDefault="008072F6" w:rsidP="008072F6">
            <w:pPr>
              <w:spacing w:before="60" w:after="60"/>
              <w:ind w:right="106"/>
              <w:jc w:val="center"/>
              <w:rPr>
                <w:rFonts w:ascii="Corbel" w:eastAsia="Times New Roman" w:hAnsi="Corbel" w:cs="Arial"/>
                <w:b/>
                <w:color w:val="FFFFFF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FFFFFF"/>
                <w:sz w:val="20"/>
                <w:szCs w:val="20"/>
                <w:bdr w:val="none" w:sz="0" w:space="0" w:color="auto" w:frame="1"/>
                <w:lang w:val="sr-Latn-ME"/>
              </w:rPr>
              <w:t>Status</w:t>
            </w:r>
          </w:p>
        </w:tc>
      </w:tr>
      <w:tr w:rsidR="004F777D" w:rsidRPr="00703F29" w14:paraId="3FF556DD" w14:textId="77777777" w:rsidTr="00703F29">
        <w:trPr>
          <w:trHeight w:val="470"/>
        </w:trPr>
        <w:tc>
          <w:tcPr>
            <w:tcW w:w="674" w:type="dxa"/>
            <w:tcBorders>
              <w:top w:val="single" w:sz="4" w:space="0" w:color="auto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0069F53E" w14:textId="728672F2" w:rsidR="004F777D" w:rsidRPr="00703F29" w:rsidRDefault="00AD1CCA" w:rsidP="002B1535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UR</w:t>
            </w:r>
            <w:r w:rsidR="004F777D"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 xml:space="preserve">1 </w:t>
            </w:r>
          </w:p>
        </w:tc>
        <w:tc>
          <w:tcPr>
            <w:tcW w:w="13636" w:type="dxa"/>
            <w:gridSpan w:val="6"/>
            <w:tcBorders>
              <w:top w:val="single" w:sz="4" w:space="0" w:color="auto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/>
            <w:vAlign w:val="center"/>
          </w:tcPr>
          <w:p w14:paraId="7BF20F08" w14:textId="27E7164C" w:rsidR="00FF49BB" w:rsidRPr="00703F29" w:rsidRDefault="00AD1CCA" w:rsidP="00FF49BB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color w:val="00539B"/>
                <w:sz w:val="20"/>
                <w:szCs w:val="20"/>
                <w:bdr w:val="none" w:sz="0" w:space="0" w:color="auto" w:frame="1"/>
                <w:lang w:val="sr-Latn-ME"/>
              </w:rPr>
              <w:t xml:space="preserve">Procjena i upravljanje zaštitom životne sredine i </w:t>
            </w:r>
            <w:r w:rsidR="00703F29">
              <w:rPr>
                <w:rFonts w:ascii="Corbel" w:hAnsi="Corbel" w:cs="Segoe UI"/>
                <w:b/>
                <w:bCs/>
                <w:color w:val="00539B"/>
                <w:sz w:val="20"/>
                <w:szCs w:val="20"/>
                <w:bdr w:val="none" w:sz="0" w:space="0" w:color="auto" w:frame="1"/>
                <w:lang w:val="sr-Latn-ME"/>
              </w:rPr>
              <w:t>društvenim</w:t>
            </w:r>
            <w:r w:rsidRPr="00703F29">
              <w:rPr>
                <w:rFonts w:ascii="Corbel" w:hAnsi="Corbel" w:cs="Segoe UI"/>
                <w:b/>
                <w:bCs/>
                <w:color w:val="00539B"/>
                <w:sz w:val="20"/>
                <w:szCs w:val="20"/>
                <w:bdr w:val="none" w:sz="0" w:space="0" w:color="auto" w:frame="1"/>
                <w:lang w:val="sr-Latn-ME"/>
              </w:rPr>
              <w:t xml:space="preserve"> pitanjima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10379900" w14:textId="77777777" w:rsidR="004F777D" w:rsidRPr="00703F29" w:rsidRDefault="004F777D" w:rsidP="002B1535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1E055B" w:rsidRPr="00703F29" w14:paraId="667391AA" w14:textId="77777777" w:rsidTr="001208A8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15482E" w14:textId="073723B5" w:rsidR="001E055B" w:rsidRPr="00703F29" w:rsidRDefault="001E055B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1.1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FF27EAF" w14:textId="3A23AFEF" w:rsidR="00A82D06" w:rsidRPr="00703F29" w:rsidRDefault="00703F29" w:rsidP="00950307">
            <w:pPr>
              <w:jc w:val="both"/>
              <w:rPr>
                <w:rFonts w:ascii="Segoe UI" w:hAnsi="Segoe UI" w:cs="Segoe UI"/>
                <w:color w:val="323130"/>
                <w:sz w:val="23"/>
                <w:szCs w:val="23"/>
                <w:lang w:val="sr-Latn-ME"/>
              </w:rPr>
            </w:pPr>
            <w:r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>UZS s</w:t>
            </w:r>
            <w:r w:rsidR="00A82D06" w:rsidRPr="00703F29"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>istem upravljanja zdravljem, bezbjednošću i zaštitom životne sredine (</w:t>
            </w:r>
            <w:r w:rsidR="00740376" w:rsidRPr="00703F29"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>H</w:t>
            </w:r>
            <w:r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>SSE</w:t>
            </w:r>
            <w:r w:rsidR="00A82D06" w:rsidRPr="00703F29"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>)</w:t>
            </w:r>
            <w:r w:rsidR="00E9078F" w:rsidRPr="00703F29">
              <w:rPr>
                <w:rFonts w:ascii="Corbel" w:hAnsi="Corbel" w:cs="Segoe U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val="sr-Latn-ME"/>
              </w:rPr>
              <w:t xml:space="preserve"> </w:t>
            </w:r>
          </w:p>
          <w:p w14:paraId="507EE580" w14:textId="694133CA" w:rsidR="001E055B" w:rsidRPr="00703F29" w:rsidRDefault="00FF49BB" w:rsidP="00703F29">
            <w:pPr>
              <w:spacing w:before="60" w:after="60"/>
              <w:ind w:left="1"/>
              <w:jc w:val="both"/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</w:pPr>
            <w:r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Potrebno je da UZS uspostavi i implementira </w:t>
            </w:r>
            <w:r w:rsidR="0074037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HS</w:t>
            </w:r>
            <w:r w:rsid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SE</w:t>
            </w:r>
            <w:r w:rsidR="0074037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 </w:t>
            </w:r>
            <w:r w:rsidR="00A82D0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(</w:t>
            </w:r>
            <w:r w:rsidR="00AD1CCA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i</w:t>
            </w:r>
            <w:r w:rsidR="00A82D0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 politik</w:t>
            </w:r>
            <w:r w:rsid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e</w:t>
            </w:r>
            <w:r w:rsidR="00A82D0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) </w:t>
            </w:r>
            <w:r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u skladu sa zahtjevima ISO </w:t>
            </w:r>
            <w:r w:rsidR="00A82D06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standarda </w:t>
            </w:r>
            <w:r w:rsidR="00AD1CCA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i dobrom međunarodnom praksom (G</w:t>
            </w:r>
            <w:r w:rsidR="001208A8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I</w:t>
            </w:r>
            <w:r w:rsidR="00AD1CCA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>IP).</w:t>
            </w:r>
            <w:r w:rsidR="00C63D9D" w:rsidRPr="00703F29">
              <w:rPr>
                <w:rFonts w:ascii="Corbel" w:hAnsi="Corbel" w:cs="Segoe UI"/>
                <w:color w:val="000000"/>
                <w:sz w:val="20"/>
                <w:szCs w:val="20"/>
                <w:bdr w:val="none" w:sz="0" w:space="0" w:color="auto" w:frame="1"/>
                <w:lang w:val="sr-Latn-ME"/>
              </w:rPr>
              <w:t xml:space="preserve"> </w:t>
            </w:r>
            <w:r w:rsidR="00740376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Takođe, p</w:t>
            </w:r>
            <w:r w:rsidR="00450885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otrebno je uključiti odgovarajuće procese upravljanja, upravljanje promjenama (MoC) i druge procese prema potrebi</w:t>
            </w:r>
            <w:r w:rsid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svim izvođačima (i podizvođačima)</w:t>
            </w:r>
            <w:r w:rsidR="00450885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kako bi se osiguralo </w:t>
            </w:r>
            <w:r w:rsidR="001208A8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da su pravna lica u mogućnosti</w:t>
            </w:r>
            <w:r w:rsidR="00450885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da ispune očekivanja UR </w:t>
            </w:r>
            <w:r w:rsid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 skladu sa</w:t>
            </w:r>
            <w:r w:rsidR="00450885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EBRD</w:t>
            </w:r>
            <w:r w:rsid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standardima</w:t>
            </w:r>
            <w:r w:rsidR="00450885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.</w:t>
            </w:r>
            <w:r w:rsidR="00A56C91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Uključiti</w:t>
            </w:r>
            <w:r w:rsidR="00A56C91" w:rsidRPr="00A56C91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upravljanje gra</w:t>
            </w:r>
            <w:r w:rsidR="00A56C91" w:rsidRPr="00A56C91">
              <w:rPr>
                <w:rFonts w:ascii="Corbel" w:hAnsi="Corbel" w:cs="Corbel"/>
                <w:color w:val="000000"/>
                <w:sz w:val="20"/>
                <w:szCs w:val="20"/>
                <w:lang w:val="sr-Latn-ME"/>
              </w:rPr>
              <w:t>đ</w:t>
            </w:r>
            <w:r w:rsidR="00A56C91" w:rsidRPr="00A56C91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evinskim i operativnim uticajima prema potrebi</w:t>
            </w:r>
            <w:r w:rsidR="00A56C91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3742B5" w14:textId="6732DD23" w:rsidR="00740376" w:rsidRPr="00703F29" w:rsidRDefault="00740376" w:rsidP="00703F29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Upravljanje rizicima u oblasti zdravlja, bezbjednosti i životne sredine (HSSE)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CED80A" w14:textId="50E10EAE" w:rsidR="002B1535" w:rsidRPr="00703F29" w:rsidRDefault="00740376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UR</w:t>
            </w:r>
            <w:r w:rsidR="002B1535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1</w:t>
            </w:r>
          </w:p>
          <w:p w14:paraId="7606E01C" w14:textId="07B33397" w:rsidR="002B1535" w:rsidRPr="00703F29" w:rsidRDefault="002B1535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ISO 14001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D08185" w14:textId="4BBDC1D1" w:rsidR="001E055B" w:rsidRPr="00703F29" w:rsidDel="008375C9" w:rsidRDefault="00740376" w:rsidP="00703F29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Interni resursi UZS</w:t>
            </w:r>
            <w:r w:rsidR="007C10C8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i spoljni saradnici</w:t>
            </w: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057BCB" w14:textId="6F35A5A1" w:rsidR="001E055B" w:rsidRPr="00703F29" w:rsidRDefault="00781C2B" w:rsidP="002B1535">
            <w:pPr>
              <w:spacing w:before="60" w:after="60"/>
              <w:ind w:right="110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Prije početka izgradnje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8623D34" w14:textId="45367BA6" w:rsidR="00740376" w:rsidRPr="00703F29" w:rsidRDefault="00740376" w:rsidP="00740376">
            <w:pPr>
              <w:spacing w:before="60" w:after="60"/>
              <w:ind w:right="62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Uspostavljen sertifikovani sistem upravljanja (ili </w:t>
            </w:r>
            <w:r w:rsid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slično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).</w:t>
            </w:r>
          </w:p>
          <w:p w14:paraId="3BD29DDA" w14:textId="421A78BC" w:rsidR="00740376" w:rsidRPr="00703F29" w:rsidRDefault="00B67D5B" w:rsidP="00740376">
            <w:pPr>
              <w:spacing w:before="60" w:after="60"/>
              <w:ind w:right="62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Izvođači su </w:t>
            </w:r>
            <w:r w:rsidR="00740376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100% pravna lica.</w:t>
            </w:r>
          </w:p>
          <w:p w14:paraId="26B4069C" w14:textId="090BA697" w:rsidR="00950469" w:rsidRPr="00703F29" w:rsidRDefault="00740376" w:rsidP="00740376">
            <w:pPr>
              <w:spacing w:before="60" w:after="60"/>
              <w:ind w:right="62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Ocjena kvaliteta </w:t>
            </w:r>
            <w:r w:rsidR="00703F2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upravljanja </w:t>
            </w:r>
            <w:r w:rsidR="00B67D5B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HS</w:t>
            </w:r>
            <w:r w:rsidR="00703F2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SE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</w:t>
            </w:r>
            <w:r w:rsid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Izvođača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.</w:t>
            </w:r>
          </w:p>
          <w:p w14:paraId="1F6B0898" w14:textId="21E1D114" w:rsidR="00424069" w:rsidRPr="00703F29" w:rsidRDefault="00424069" w:rsidP="00740376">
            <w:pPr>
              <w:spacing w:before="60" w:after="60"/>
              <w:ind w:right="62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357919" w14:textId="77777777" w:rsidR="001E055B" w:rsidRPr="00703F29" w:rsidRDefault="001E055B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</w:tr>
      <w:tr w:rsidR="00E55149" w:rsidRPr="00703F29" w14:paraId="3B116B61" w14:textId="77777777" w:rsidTr="001208A8">
        <w:trPr>
          <w:trHeight w:val="328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CDFA515" w14:textId="465081A0" w:rsidR="00E55149" w:rsidRPr="00703F29" w:rsidRDefault="00E55149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1.2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073AB31" w14:textId="28FBA59E" w:rsidR="00E9078F" w:rsidRPr="00703F29" w:rsidRDefault="00E9078F" w:rsidP="00767AD5">
            <w:pPr>
              <w:spacing w:before="60" w:after="60"/>
              <w:ind w:left="1"/>
              <w:jc w:val="both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Plan za upravljanje životnom sredinom i </w:t>
            </w:r>
            <w:r w:rsidR="00781C2B"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društvenim okruženjem </w:t>
            </w: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tokom izgradnje </w:t>
            </w:r>
            <w:r w:rsidR="00D20DB0"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i</w:t>
            </w:r>
            <w:r w:rsidR="00950307"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zvođača radova</w:t>
            </w:r>
            <w:r w:rsidR="00767AD5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 (CESMP)</w:t>
            </w:r>
          </w:p>
          <w:p w14:paraId="26AF60E4" w14:textId="76616BFF" w:rsidR="00E9078F" w:rsidRDefault="00781C2B" w:rsidP="0048275B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Potrebno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je da UZS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, u sklopu HSSE sistema upravljanja,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zahtijeva od izvođača da </w:t>
            </w:r>
            <w:r w:rsidR="0095030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izradi 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ESMP za fazu izgradnje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, a sve u cilju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i</w:t>
            </w:r>
            <w:r w:rsidR="00EA688E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s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punjavanja </w:t>
            </w:r>
            <w:r w:rsidR="00BB3D4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zahtjeva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F80EE2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z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ajmodavaca.</w:t>
            </w:r>
            <w:r w:rsidR="0048275B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Potrebn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o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je 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iste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 potpunosti integri</w:t>
            </w:r>
            <w:r w:rsidR="00EA688E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sati 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i uspostaviti snažan mehanizam za 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implementcaiju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mjera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ublažavanja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0D1262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koje su uspostavljene u finalnoj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ESIA</w:t>
            </w:r>
            <w:r w:rsidR="000D1262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studiji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kroz paket </w:t>
            </w:r>
            <w:r w:rsidR="00EA688E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Planova upravljanja 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i procedura (ili 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lastRenderedPageBreak/>
              <w:t>prema potrebi p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utem</w:t>
            </w:r>
            <w:r w:rsidR="00E63D5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9078F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alternativnog mehanizma).</w:t>
            </w:r>
          </w:p>
          <w:p w14:paraId="4304D2FC" w14:textId="77777777" w:rsidR="00777D0E" w:rsidRPr="00703F29" w:rsidRDefault="00777D0E" w:rsidP="0048275B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</w:p>
          <w:p w14:paraId="6ACCD8DD" w14:textId="2B594070" w:rsidR="00E55149" w:rsidRPr="00703F29" w:rsidRDefault="000D1262" w:rsidP="00777D0E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U ovim planovima takođe će se </w:t>
            </w:r>
            <w:r w:rsidR="0042406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definisati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resursi potrebni za </w:t>
            </w:r>
            <w:r w:rsidR="0042406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implementaciju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programa upravljanja i program</w:t>
            </w:r>
            <w:r w:rsidR="0048275B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a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praćenja i revizije, u skladu sa zahtjevima UR1; zahtjevima obuk</w:t>
            </w:r>
            <w:r w:rsidR="0095030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, operativn</w:t>
            </w:r>
            <w:r w:rsidR="0095030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kontrol</w:t>
            </w:r>
            <w:r w:rsidR="0095030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</w:t>
            </w:r>
            <w:r w:rsidR="00781C2B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EHS i praćenj</w:t>
            </w:r>
            <w:r w:rsidR="0042406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a 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rada </w:t>
            </w:r>
            <w:r w:rsidR="0042406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kao 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i izvještavanje </w:t>
            </w:r>
            <w:r w:rsidR="0048275B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putem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izvođača i podizvođača.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FA88601" w14:textId="151694DD" w:rsidR="00E55149" w:rsidRPr="00703F29" w:rsidRDefault="0006244D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lastRenderedPageBreak/>
              <w:t>Upravljanje rizicima u oblasti zdravlja, bezbjednosti i životne sredine (HSSE) tokom izgradnje od strane Izvođača</w:t>
            </w:r>
            <w:r w:rsidR="000D1262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F29A79D" w14:textId="4916F890" w:rsidR="005D7DEC" w:rsidRPr="00703F29" w:rsidRDefault="0006244D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UR</w:t>
            </w:r>
            <w:r w:rsidR="005D7DEC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1</w:t>
            </w:r>
            <w:r w:rsidR="00CF53D7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/EBRD </w:t>
            </w:r>
            <w:r w:rsidR="00424069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O</w:t>
            </w: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baveze</w:t>
            </w:r>
            <w:r w:rsidR="00781C2B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definisane u </w:t>
            </w:r>
            <w:r w:rsidR="005D7DEC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ESIA </w:t>
            </w: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studij</w:t>
            </w:r>
            <w:r w:rsidR="00781C2B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C0FDDF1" w14:textId="46DFE28C" w:rsidR="00E55149" w:rsidRPr="00703F29" w:rsidRDefault="00487537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>
              <w:rPr>
                <w:rFonts w:ascii="Corbel" w:hAnsi="Corbel" w:cs="Arial"/>
                <w:sz w:val="20"/>
                <w:szCs w:val="20"/>
                <w:lang w:val="sr-Latn-ME"/>
              </w:rPr>
              <w:t>Resursi Izvođača ili</w:t>
            </w:r>
            <w:r w:rsidR="007C10C8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 spoljni saradnici</w:t>
            </w: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7C25154" w14:textId="70B2F29C" w:rsidR="00E55149" w:rsidRPr="00703F29" w:rsidRDefault="0006244D" w:rsidP="00777D0E">
            <w:pPr>
              <w:spacing w:before="60" w:after="60"/>
              <w:ind w:right="110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Potrebno je da UZS</w:t>
            </w:r>
            <w:r w:rsidR="00781C2B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, mjesec dana prije početka gradnje, 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revidira sve</w:t>
            </w:r>
            <w:r w:rsidRPr="00703F29">
              <w:rPr>
                <w:lang w:val="sr-Latn-ME"/>
              </w:rPr>
              <w:t xml:space="preserve"> </w:t>
            </w:r>
            <w:r w:rsidR="00487537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CESMP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4B6B0C6" w14:textId="1C122DE1" w:rsidR="00EA688E" w:rsidRPr="00703F29" w:rsidRDefault="00EA688E" w:rsidP="00487537">
            <w:pPr>
              <w:spacing w:before="60" w:after="60"/>
              <w:ind w:right="62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Dostupan cijeli paket CESMP (koji ispunjavaju UR EBRD)</w:t>
            </w:r>
            <w:r w:rsidR="0095030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, 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spreman </w:t>
            </w:r>
            <w:r w:rsidR="00777D0E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z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 implementaciju.</w:t>
            </w: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A86AAE" w14:textId="77777777" w:rsidR="00E55149" w:rsidRPr="00703F29" w:rsidRDefault="00E55149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</w:tr>
      <w:tr w:rsidR="005D7DEC" w:rsidRPr="00703F29" w14:paraId="271E2AEF" w14:textId="77777777" w:rsidTr="001208A8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84E9D2E" w14:textId="1AEBB8D1" w:rsidR="005D7DEC" w:rsidRPr="00703F29" w:rsidRDefault="005D7DEC" w:rsidP="002B153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1.3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F4E919" w14:textId="4E21B3AA" w:rsidR="00E64140" w:rsidRPr="00703F29" w:rsidRDefault="00043961" w:rsidP="00781C2B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HSSE </w:t>
            </w:r>
            <w:r w:rsidR="00E64140"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resursi </w:t>
            </w:r>
            <w:r w:rsidR="00777D0E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UZS</w:t>
            </w:r>
          </w:p>
          <w:p w14:paraId="6AF0B5DD" w14:textId="4FC023BB" w:rsidR="00E64140" w:rsidRPr="00703F29" w:rsidRDefault="00D147ED" w:rsidP="00777D0E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UZS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će razviti organizacionu strukturu koja će pokazati kako će se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uspostaviti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sistem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upravljanj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a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zdravljem, bezbjednošću i zaštitom životne sredine </w:t>
            </w:r>
            <w:r w:rsidR="00F535C3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na Projektu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i uspostaviti plan isporuke resursa. Organizaciona struktura </w:t>
            </w:r>
            <w:r w:rsidR="004E51C1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UZS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uključuje odgovarajuće kvalifikovane resurse iz oblasti životne sredine za 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nadgledanje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prim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ene BMP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ESMP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i drugih relevantnih planova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424069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društvene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resurse za 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praćenje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prim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ene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žalbenog mehanizma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, LARP i 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SEP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. U početku će se </w:t>
            </w:r>
            <w:r w:rsidR="0095030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neusaglašenosti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r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ešavati 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p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utem</w:t>
            </w:r>
            <w:r w:rsidR="004D1C7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E6414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konsultantske podrške.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7DDC6B" w14:textId="7401D597" w:rsidR="005D7DEC" w:rsidRPr="00703F29" w:rsidRDefault="004D1C70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Upravljanje rizicima</w:t>
            </w:r>
            <w:r w:rsidR="00332B51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i problemima</w:t>
            </w: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u oblasti HSSE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C417FE" w14:textId="0B2C25BD" w:rsidR="00AD7D81" w:rsidRPr="00703F29" w:rsidRDefault="004D1C70" w:rsidP="00AD7D8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UR</w:t>
            </w:r>
            <w:r w:rsidR="00AD7D81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1</w:t>
            </w:r>
          </w:p>
          <w:p w14:paraId="0A7DB58A" w14:textId="34D93A40" w:rsidR="005D7DEC" w:rsidRPr="00703F29" w:rsidRDefault="00AD7D81" w:rsidP="00AD7D81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ISO 14001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07592F4" w14:textId="5545FF0F" w:rsidR="00950307" w:rsidRPr="00703F29" w:rsidRDefault="007C10C8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Interni resursi UZS i spoljni saradnici </w:t>
            </w:r>
          </w:p>
          <w:p w14:paraId="382DE8D5" w14:textId="10B52212" w:rsidR="004512C7" w:rsidRPr="00703F29" w:rsidRDefault="004512C7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</w:p>
          <w:p w14:paraId="5F8A0182" w14:textId="5BEA5F4F" w:rsidR="004D1C70" w:rsidRPr="00703F29" w:rsidRDefault="004D1C70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>(</w:t>
            </w:r>
            <w:r w:rsidR="00777D0E">
              <w:rPr>
                <w:rFonts w:ascii="Corbel" w:hAnsi="Corbel" w:cs="Arial"/>
                <w:sz w:val="20"/>
                <w:szCs w:val="20"/>
                <w:lang w:val="sr-Latn-ME"/>
              </w:rPr>
              <w:t>Inicijalna</w:t>
            </w: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podrška </w:t>
            </w:r>
            <w:r w:rsidR="00424069"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u </w:t>
            </w: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izgradnji kapaciteta za E&amp;S predviđena je </w:t>
            </w:r>
            <w:r w:rsidR="00777D0E">
              <w:rPr>
                <w:rFonts w:ascii="Corbel" w:hAnsi="Corbel" w:cs="Arial"/>
                <w:sz w:val="20"/>
                <w:szCs w:val="20"/>
                <w:lang w:val="sr-Latn-ME"/>
              </w:rPr>
              <w:t>kroz</w:t>
            </w: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pružanj</w:t>
            </w:r>
            <w:r w:rsidR="00777D0E">
              <w:rPr>
                <w:rFonts w:ascii="Corbel" w:hAnsi="Corbel" w:cs="Arial"/>
                <w:sz w:val="20"/>
                <w:szCs w:val="20"/>
                <w:lang w:val="sr-Latn-ME"/>
              </w:rPr>
              <w:t>e</w:t>
            </w: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tehničke pomoći</w:t>
            </w:r>
            <w:r w:rsidR="00777D0E"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UZS</w:t>
            </w: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u 2020. godini)</w:t>
            </w:r>
          </w:p>
          <w:p w14:paraId="13AA193F" w14:textId="30A032DF" w:rsidR="00424069" w:rsidRPr="00703F29" w:rsidRDefault="00424069" w:rsidP="002B1535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973C82" w14:textId="46B548BC" w:rsidR="005D7DEC" w:rsidRPr="00703F29" w:rsidRDefault="004B0EED" w:rsidP="00777D0E">
            <w:pPr>
              <w:spacing w:before="60" w:after="60"/>
              <w:ind w:right="110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Prije početka izgradnje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AC5BDF" w14:textId="364E6E8E" w:rsidR="00777D0E" w:rsidRDefault="004D1C70" w:rsidP="00777D0E">
            <w:pPr>
              <w:spacing w:before="60" w:after="60"/>
              <w:ind w:right="62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Uspostav</w:t>
            </w:r>
            <w:r w:rsidR="0095030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l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jen</w:t>
            </w:r>
            <w:r w:rsidR="0095030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</w:t>
            </w:r>
            <w:r w:rsidR="0095030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še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ma organizacije </w:t>
            </w:r>
            <w:r w:rsidR="007C10C8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kao i</w:t>
            </w:r>
            <w:r w:rsidR="0095030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</w:t>
            </w:r>
            <w:r w:rsidR="007C10C8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proces </w:t>
            </w:r>
            <w:r w:rsidR="00777D0E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angažmana</w:t>
            </w:r>
            <w:r w:rsidR="007C10C8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resursa. </w:t>
            </w:r>
          </w:p>
          <w:p w14:paraId="31596D09" w14:textId="77777777" w:rsidR="00777D0E" w:rsidRDefault="00950307" w:rsidP="00777D0E">
            <w:pPr>
              <w:spacing w:before="60" w:after="60"/>
              <w:ind w:right="62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Dostupni</w:t>
            </w:r>
            <w:r w:rsidR="004D1C70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CV. </w:t>
            </w:r>
          </w:p>
          <w:p w14:paraId="67F93106" w14:textId="5E302E61" w:rsidR="004D1C70" w:rsidRPr="00703F29" w:rsidRDefault="00424069" w:rsidP="00777D0E">
            <w:pPr>
              <w:spacing w:before="60" w:after="60"/>
              <w:ind w:right="62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Angažovan</w:t>
            </w:r>
            <w:r w:rsidR="00777D0E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 lica.</w:t>
            </w: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DA9F4D" w14:textId="77777777" w:rsidR="005D7DEC" w:rsidRPr="00703F29" w:rsidRDefault="005D7DEC" w:rsidP="002B1535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</w:tr>
      <w:tr w:rsidR="002C2043" w:rsidRPr="00703F29" w14:paraId="48BE85C2" w14:textId="77777777" w:rsidTr="001208A8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56D08DC" w14:textId="4DB91F10" w:rsidR="002C2043" w:rsidRPr="00703F29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1.4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251F00" w14:textId="56ACB9DF" w:rsidR="004F4C82" w:rsidRPr="00703F29" w:rsidRDefault="00EA1047" w:rsidP="002C2043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HSSE izvještavanje </w:t>
            </w:r>
            <w:r w:rsidR="00777D0E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UZS</w:t>
            </w:r>
          </w:p>
          <w:p w14:paraId="02F9B6D8" w14:textId="598B2040" w:rsidR="002C2043" w:rsidRPr="00703F29" w:rsidRDefault="00EA1047" w:rsidP="00777D0E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UZS će poboljšati procese izv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eštavanja o projektima kako bi ispunio zahtjeve EBRD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u okviru 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godišnj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eg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izv</w:t>
            </w:r>
            <w:r w:rsidR="00D20DB0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eštavanj</w:t>
            </w:r>
            <w:r w:rsidR="00777D0E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a</w:t>
            </w: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o E&amp;S.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0E8248E" w14:textId="7A8DEF5B" w:rsidR="002C2043" w:rsidRPr="00703F29" w:rsidRDefault="00EA1047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Izvještavanje o rizicima </w:t>
            </w:r>
            <w:r w:rsidR="00332B51">
              <w:rPr>
                <w:rFonts w:ascii="Corbel" w:hAnsi="Corbel" w:cs="Arial"/>
                <w:sz w:val="20"/>
                <w:szCs w:val="20"/>
                <w:lang w:val="sr-Latn-ME"/>
              </w:rPr>
              <w:t>i problemima u oblasti</w:t>
            </w: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HSSE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CF3C3F" w14:textId="3A13C740" w:rsidR="002C2043" w:rsidRPr="00703F29" w:rsidRDefault="00EA1047" w:rsidP="002C2043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UR</w:t>
            </w:r>
            <w:r w:rsidR="002C2043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8A304AA" w14:textId="6DB6C91F" w:rsidR="007C10C8" w:rsidRDefault="007C10C8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Interni resursi UZS i spoljni saradnici </w:t>
            </w:r>
          </w:p>
          <w:p w14:paraId="184E9483" w14:textId="19A42EF3" w:rsidR="00777D0E" w:rsidRDefault="00777D0E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</w:p>
          <w:p w14:paraId="3D471381" w14:textId="250F348D" w:rsidR="002C2043" w:rsidRPr="00703F29" w:rsidRDefault="00777D0E" w:rsidP="00777D0E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77D0E">
              <w:rPr>
                <w:rFonts w:ascii="Corbel" w:hAnsi="Corbel" w:cs="Arial"/>
                <w:sz w:val="20"/>
                <w:szCs w:val="20"/>
                <w:lang w:val="sr-Latn-ME"/>
              </w:rPr>
              <w:t>(Inicijalna podrška u izgradnji kapaciteta za E&amp;S predviđena je kroz pružanje tehničke pomoći UZS u 2020. godini)</w:t>
            </w: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AC414CD" w14:textId="26148C55" w:rsidR="002C2043" w:rsidRPr="00703F29" w:rsidRDefault="004B0EED" w:rsidP="00777D0E">
            <w:pPr>
              <w:spacing w:before="60" w:after="60"/>
              <w:ind w:right="110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Prije početka izgradnje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5EED9C" w14:textId="414594A7" w:rsidR="002C2043" w:rsidRPr="00703F29" w:rsidRDefault="00777D0E" w:rsidP="00777D0E">
            <w:pPr>
              <w:spacing w:before="60" w:after="60"/>
              <w:ind w:left="1" w:right="62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Definisani</w:t>
            </w:r>
            <w:r w:rsidR="00EA104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i uspostavljeni procesi izv</w:t>
            </w:r>
            <w:r w:rsidR="007C10C8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j</w:t>
            </w:r>
            <w:r w:rsidR="00EA104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eštavanja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,</w:t>
            </w:r>
            <w:r w:rsidR="00EA104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korišćenjem godišnjeg obrasca za izv</w:t>
            </w:r>
            <w:r w:rsidR="007C10C8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j</w:t>
            </w:r>
            <w:r w:rsidR="00EA104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eštavanje o E&amp;S i ažuriranja </w:t>
            </w:r>
            <w:r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o implementaciji </w:t>
            </w:r>
            <w:r w:rsidR="00EA1047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ESAP</w:t>
            </w:r>
            <w:r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7CE8483" w14:textId="77777777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</w:tr>
      <w:tr w:rsidR="004F4C82" w:rsidRPr="00703F29" w14:paraId="7682A676" w14:textId="77777777" w:rsidTr="001208A8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DD0668" w14:textId="3F1FA925" w:rsidR="004F4C82" w:rsidRPr="00703F29" w:rsidRDefault="00043961" w:rsidP="004F4C82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lastRenderedPageBreak/>
              <w:t>1.5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6E567F5" w14:textId="2E16308A" w:rsidR="00EA1047" w:rsidRPr="00703F29" w:rsidRDefault="00EA1047" w:rsidP="00EA1047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Plan nadzora </w:t>
            </w:r>
            <w:r w:rsidR="00A02994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izvođača</w:t>
            </w:r>
          </w:p>
          <w:p w14:paraId="6A4BC8A0" w14:textId="0247B311" w:rsidR="004F4C82" w:rsidRPr="00703F29" w:rsidRDefault="00191ED1" w:rsidP="00EA1047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Potrebno je da </w:t>
            </w:r>
            <w:r w:rsidR="00EA104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UZS razvije i implementira plan nadzora </w:t>
            </w:r>
            <w:r w:rsidR="00A02994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izvođača</w:t>
            </w:r>
            <w:r w:rsidR="00EA1047" w:rsidRPr="00703F29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koji će da uključuje monitoring i </w:t>
            </w:r>
            <w:r w:rsidR="00A02994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primjenu </w:t>
            </w:r>
            <w:r w:rsidR="00B753A7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EHSS i zahtjeva na rada u skladu sa UR EBRD. 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85CA446" w14:textId="79232A59" w:rsidR="004F4C82" w:rsidRPr="00703F29" w:rsidRDefault="00163E50" w:rsidP="00B753A7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Omogućava</w:t>
            </w:r>
            <w:r w:rsidR="00EA1047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 praćenje realizacije u odnosu na UR2 </w:t>
            </w:r>
            <w:r w:rsidR="00191ED1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EA1047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 ostale UR.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E5D4013" w14:textId="7E2DD682" w:rsidR="004F4C82" w:rsidRPr="00703F29" w:rsidRDefault="004F4C82" w:rsidP="004F4C82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EBRD </w:t>
            </w:r>
            <w:r w:rsidR="00EA104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UR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2</w:t>
            </w:r>
          </w:p>
          <w:p w14:paraId="1516FED4" w14:textId="32246EC5" w:rsidR="004F4C82" w:rsidRPr="00703F29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GI</w:t>
            </w:r>
            <w:r w:rsidR="00332B51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P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E3AC5FC" w14:textId="551C9563" w:rsidR="004F4C82" w:rsidRPr="00703F29" w:rsidRDefault="007C10C8" w:rsidP="00B753A7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Interni resursi UZS </w:t>
            </w: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FCA2C84" w14:textId="2EC78F59" w:rsidR="004F4C82" w:rsidRPr="00703F29" w:rsidRDefault="00EA1047" w:rsidP="00B753A7">
            <w:pPr>
              <w:spacing w:before="60" w:after="60"/>
              <w:ind w:right="110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Dva mjeseca prije početka</w:t>
            </w:r>
            <w:r w:rsidR="00773382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gradnje</w:t>
            </w:r>
            <w:r w:rsidR="00773382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04A55C" w14:textId="4E2E79CE" w:rsidR="00773382" w:rsidRPr="00703F29" w:rsidRDefault="00773382" w:rsidP="00B753A7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Mjesečni izvještaji 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monitoringa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uključuju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ći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relevantne informacije o 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usklađenosti sa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UR.</w:t>
            </w:r>
          </w:p>
          <w:p w14:paraId="6148826D" w14:textId="77777777" w:rsidR="00773382" w:rsidRPr="00703F29" w:rsidRDefault="00773382" w:rsidP="00773382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  <w:p w14:paraId="2A1A80DF" w14:textId="008920E4" w:rsidR="004F4C82" w:rsidRPr="00703F29" w:rsidRDefault="00773382" w:rsidP="00191ED1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Nadzorni tim izvođača 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 posjeduje adekvatan kadar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 resurse.</w:t>
            </w: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CEB856" w14:textId="77777777" w:rsidR="004F4C82" w:rsidRPr="00703F29" w:rsidRDefault="004F4C82" w:rsidP="004F4C82">
            <w:pPr>
              <w:spacing w:before="60" w:after="60"/>
              <w:ind w:left="1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</w:p>
        </w:tc>
      </w:tr>
      <w:tr w:rsidR="004F4C82" w:rsidRPr="00703F29" w14:paraId="6343D216" w14:textId="77777777" w:rsidTr="001208A8">
        <w:trPr>
          <w:trHeight w:val="819"/>
        </w:trPr>
        <w:tc>
          <w:tcPr>
            <w:tcW w:w="674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122929" w14:textId="3A933840" w:rsidR="004F4C82" w:rsidRPr="00703F29" w:rsidRDefault="004F4C82" w:rsidP="004F4C82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1.</w:t>
            </w:r>
            <w:r w:rsidR="00332B51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6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7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1D64A8" w14:textId="46B027BA" w:rsidR="00B019B1" w:rsidRDefault="00773382" w:rsidP="00B019B1">
            <w:pPr>
              <w:spacing w:before="60" w:after="60"/>
              <w:ind w:left="1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Procjen</w:t>
            </w:r>
            <w:r w:rsidR="00B753A7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>e</w:t>
            </w:r>
            <w:r w:rsidRPr="00703F29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  <w:t xml:space="preserve"> saobraćaja</w:t>
            </w:r>
          </w:p>
          <w:p w14:paraId="4DC1F1AB" w14:textId="25453F42" w:rsidR="004F4C82" w:rsidRPr="00B019B1" w:rsidRDefault="00B019B1" w:rsidP="00B019B1">
            <w:pPr>
              <w:spacing w:before="60" w:after="60"/>
              <w:ind w:left="1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>UZS</w:t>
            </w:r>
            <w:r w:rsidRPr="00B019B1"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  <w:t xml:space="preserve"> će naručiti dodatnu procjenu gustine saobraćaja tokom normalnih uslova u toku sezone da bi potvrdili uticaj na vozila koja žele da skrenu levo i dodatno potvrde zahtjeve za pešačke i prelaze za životinje.</w:t>
            </w:r>
          </w:p>
        </w:tc>
        <w:tc>
          <w:tcPr>
            <w:tcW w:w="216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4611CEB" w14:textId="47CF4ECC" w:rsidR="004F4C82" w:rsidRPr="00703F29" w:rsidRDefault="00180086" w:rsidP="00B753A7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Potvrda da Projekat ispunjava bezbjednosne zahtjeve</w:t>
            </w:r>
          </w:p>
        </w:tc>
        <w:tc>
          <w:tcPr>
            <w:tcW w:w="122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14C93E7" w14:textId="5349163F" w:rsidR="004F4C82" w:rsidRPr="00703F29" w:rsidRDefault="004F4C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EBRD </w:t>
            </w:r>
            <w:r w:rsidR="00773382" w:rsidRPr="00703F29">
              <w:rPr>
                <w:rFonts w:ascii="Corbel" w:hAnsi="Corbel" w:cs="Arial"/>
                <w:sz w:val="20"/>
                <w:szCs w:val="20"/>
                <w:lang w:val="sr-Latn-ME"/>
              </w:rPr>
              <w:t>U</w:t>
            </w: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R 1</w:t>
            </w:r>
          </w:p>
          <w:p w14:paraId="649C59D0" w14:textId="0F824773" w:rsidR="004F4C82" w:rsidRPr="00703F29" w:rsidRDefault="00773382" w:rsidP="004F4C82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Nacionalna regulativa</w:t>
            </w:r>
            <w:r w:rsidR="004F4C82" w:rsidRPr="00703F29">
              <w:rPr>
                <w:rFonts w:ascii="Corbel" w:hAnsi="Corbe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2E76A6" w14:textId="2F4AAB7A" w:rsidR="004F4C82" w:rsidRPr="00703F29" w:rsidRDefault="007C10C8" w:rsidP="00B753A7">
            <w:pPr>
              <w:spacing w:before="60" w:after="60"/>
              <w:ind w:left="1" w:right="62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Interni resursi UZS i</w:t>
            </w:r>
            <w:r w:rsidR="00B753A7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li</w:t>
            </w: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spoljni saradnici</w:t>
            </w:r>
          </w:p>
        </w:tc>
        <w:tc>
          <w:tcPr>
            <w:tcW w:w="171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8AA255" w14:textId="373D5344" w:rsidR="004F4C82" w:rsidRPr="00703F29" w:rsidRDefault="00B019B1" w:rsidP="00B753A7">
            <w:pPr>
              <w:spacing w:before="60" w:after="60"/>
              <w:ind w:right="11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Prije početka izgradnje</w:t>
            </w:r>
          </w:p>
        </w:tc>
        <w:tc>
          <w:tcPr>
            <w:tcW w:w="2790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3828387" w14:textId="4731F705" w:rsidR="004F4C82" w:rsidRPr="00703F29" w:rsidRDefault="00B019B1" w:rsidP="00B753A7">
            <w:pPr>
              <w:spacing w:before="60" w:after="60"/>
              <w:ind w:left="1" w:right="62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Završeno prije početka radova</w:t>
            </w:r>
            <w:r w:rsidR="00180086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. </w:t>
            </w:r>
            <w:r w:rsidR="00010328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A</w:t>
            </w:r>
            <w:r w:rsidR="00F80EE2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žuriran pr</w:t>
            </w:r>
            <w:r w:rsidR="00180086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ojekat 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prije početka izgradnje </w:t>
            </w:r>
            <w:r w:rsidR="00180086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tako da odražava ishod procjene</w:t>
            </w:r>
            <w:r w:rsidR="00424069"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82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4C8B7E6" w14:textId="668D2DBD" w:rsidR="004F4C82" w:rsidRPr="00703F29" w:rsidRDefault="004F4C82" w:rsidP="004F4C82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1E1D8008" w14:textId="4AFC2111" w:rsidR="001F5DEC" w:rsidRPr="00703F29" w:rsidRDefault="00C81170" w:rsidP="00C81170">
      <w:pPr>
        <w:tabs>
          <w:tab w:val="left" w:pos="9105"/>
        </w:tabs>
        <w:rPr>
          <w:lang w:val="sr-Latn-ME"/>
        </w:rPr>
      </w:pPr>
      <w:r>
        <w:rPr>
          <w:lang w:val="sr-Latn-ME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15135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3"/>
        <w:gridCol w:w="3968"/>
        <w:gridCol w:w="1703"/>
        <w:gridCol w:w="1418"/>
        <w:gridCol w:w="1701"/>
        <w:gridCol w:w="1557"/>
        <w:gridCol w:w="2979"/>
        <w:gridCol w:w="1136"/>
      </w:tblGrid>
      <w:tr w:rsidR="002C2043" w:rsidRPr="00703F29" w14:paraId="20CAC033" w14:textId="77777777" w:rsidTr="00C27244">
        <w:trPr>
          <w:trHeight w:val="524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3BDF8689" w14:textId="710AFD79" w:rsidR="002C2043" w:rsidRPr="00703F29" w:rsidRDefault="00180086" w:rsidP="002C2043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UR</w:t>
            </w:r>
            <w:r w:rsidR="002C2043"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 xml:space="preserve">2 </w:t>
            </w:r>
          </w:p>
        </w:tc>
        <w:tc>
          <w:tcPr>
            <w:tcW w:w="13326" w:type="dxa"/>
            <w:gridSpan w:val="6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/>
            <w:vAlign w:val="center"/>
          </w:tcPr>
          <w:p w14:paraId="093908DE" w14:textId="337C84B7" w:rsidR="002C2043" w:rsidRPr="00703F29" w:rsidRDefault="00180086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 xml:space="preserve">Radna snaga i </w:t>
            </w:r>
            <w:r w:rsidR="00C81170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uslovi rada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6C15F0FB" w14:textId="77777777" w:rsidR="002C2043" w:rsidRPr="00703F29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2C2043" w:rsidRPr="00703F29" w14:paraId="69B174EC" w14:textId="77777777" w:rsidTr="003E429B">
        <w:trPr>
          <w:trHeight w:val="1264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D3C377A" w14:textId="5B16FDF3" w:rsidR="002C2043" w:rsidRPr="00703F29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2.1 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097E47E" w14:textId="5EA13DF0" w:rsidR="00D03178" w:rsidRPr="00703F29" w:rsidRDefault="00A57B02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Plan </w:t>
            </w:r>
            <w:r w:rsidR="00503E6B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upravljanja radnom 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snag</w:t>
            </w:r>
            <w:r w:rsidR="00503E6B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om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 i radni</w:t>
            </w:r>
            <w:r w:rsidR="00503E6B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m 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uslovi</w:t>
            </w:r>
            <w:r w:rsidR="00503E6B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ma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 </w:t>
            </w:r>
            <w:r w:rsidR="00C27244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&amp; 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Politika ljudskih resursa (</w:t>
            </w:r>
            <w:r w:rsidR="00C27244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HR Policy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) izvođača radova</w:t>
            </w:r>
          </w:p>
          <w:p w14:paraId="2A28F9B8" w14:textId="4FDAF2E5" w:rsidR="00503E6B" w:rsidRPr="00703F29" w:rsidRDefault="00503E6B" w:rsidP="00191ED1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jc w:val="both"/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UZS će zahtijevati od Izvođača da </w:t>
            </w:r>
            <w:r w:rsidR="00C81170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pripremi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 i primijeni Plan upravljanja radnom snagom i radnim uslovima u skladu sa politikom EBRD. Potrebno je da plan sadrži i politiku ljudskih resursa (HR), žalbeni mehanizam za radnike, jednake mogućnosti, </w:t>
            </w:r>
            <w:r w:rsidR="00A17458"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odredbe za </w:t>
            </w:r>
            <w:r w:rsidR="00B753A7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zaštitu od 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rodno zasnovano</w:t>
            </w:r>
            <w:r w:rsidR="00B753A7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g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 nasilj</w:t>
            </w:r>
            <w:r w:rsidR="00B753A7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a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 i uznemiravanj</w:t>
            </w:r>
            <w:r w:rsidR="00B753A7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a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 i odredb</w:t>
            </w:r>
            <w:r w:rsidR="00191ED1"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e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 xml:space="preserve"> kodeksa pona</w:t>
            </w:r>
            <w:r w:rsidRPr="00703F29">
              <w:rPr>
                <w:rFonts w:ascii="Corbel" w:eastAsia="Times New Roman" w:hAnsi="Corbel" w:cs="Corbel"/>
                <w:bCs/>
                <w:color w:val="000000"/>
                <w:sz w:val="19"/>
                <w:szCs w:val="19"/>
                <w:lang w:val="sr-Latn-ME"/>
              </w:rPr>
              <w:t>š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19"/>
                <w:szCs w:val="19"/>
                <w:lang w:val="sr-Latn-ME"/>
              </w:rPr>
              <w:t>anja.</w:t>
            </w:r>
          </w:p>
        </w:tc>
        <w:tc>
          <w:tcPr>
            <w:tcW w:w="170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3EAB34B" w14:textId="77777777" w:rsidR="00A17458" w:rsidRPr="00703F29" w:rsidRDefault="00A17458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Smanjenje rizika povezanih sa radom.</w:t>
            </w:r>
          </w:p>
          <w:p w14:paraId="20EF157A" w14:textId="257E7F11" w:rsidR="00A17458" w:rsidRPr="00703F29" w:rsidRDefault="00A17458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Jasno razumijevanje zahtjeva među izvođač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ima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podizvođač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ima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radn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icima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  <w:p w14:paraId="0100DCBE" w14:textId="5F9237AF" w:rsidR="004A0A1E" w:rsidRPr="00703F29" w:rsidRDefault="00A17458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Ublažavanje uticaja 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epidemij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 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izazvane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Covid-19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DFCCD4" w14:textId="59FD9947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EBRD </w:t>
            </w:r>
            <w:r w:rsidR="00A17458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R2</w:t>
            </w:r>
          </w:p>
          <w:p w14:paraId="248DA57F" w14:textId="076F0F77" w:rsidR="004A0A1E" w:rsidRPr="00703F29" w:rsidRDefault="00D03178" w:rsidP="0045640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GI</w:t>
            </w:r>
            <w:r w:rsidR="00C81170">
              <w:rPr>
                <w:rFonts w:ascii="Corbel" w:hAnsi="Corbel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P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EC975AD" w14:textId="77777777" w:rsidR="00A17458" w:rsidRPr="00703F29" w:rsidRDefault="00A17458" w:rsidP="0045640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Resursi izvođača</w:t>
            </w:r>
          </w:p>
          <w:p w14:paraId="134D38BC" w14:textId="7A561602" w:rsidR="00A17458" w:rsidRPr="00703F29" w:rsidRDefault="00A17458" w:rsidP="00B753A7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Dodatne informacije o radu i  radnim uslovima dostupne 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su na sledećem linku</w:t>
            </w:r>
          </w:p>
          <w:p w14:paraId="6912BA23" w14:textId="5D0A18B8" w:rsidR="002C2043" w:rsidRPr="00703F29" w:rsidRDefault="00A17458" w:rsidP="00A1745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(</w:t>
            </w:r>
            <w:hyperlink r:id="rId12" w:history="1">
              <w:r w:rsidR="00743A45" w:rsidRPr="00703F2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val="sr-Latn-ME" w:eastAsia="en-US"/>
                </w:rPr>
                <w:t>https://www.ebrd.com/sustainability-covid.html</w:t>
              </w:r>
            </w:hyperlink>
            <w:r w:rsidR="00743A45" w:rsidRPr="00703F29">
              <w:rPr>
                <w:rFonts w:asciiTheme="majorHAnsi" w:eastAsia="Times New Roman" w:hAnsiTheme="majorHAnsi" w:cstheme="majorHAnsi"/>
                <w:sz w:val="20"/>
                <w:szCs w:val="20"/>
                <w:lang w:val="sr-Latn-ME" w:eastAsia="en-US"/>
              </w:rPr>
              <w:t>)</w:t>
            </w:r>
          </w:p>
        </w:tc>
        <w:tc>
          <w:tcPr>
            <w:tcW w:w="155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E7BAD5E" w14:textId="6C8A3092" w:rsidR="002C2043" w:rsidRPr="00703F29" w:rsidRDefault="00A17458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Dva mjeseca prije početka 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B6A672" w14:textId="7A3BA3DC" w:rsidR="00A17458" w:rsidRPr="00703F29" w:rsidRDefault="00A17458" w:rsidP="00B753A7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Politike i planovi su u skladu sa U</w:t>
            </w:r>
            <w:r w:rsidR="002C2043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R2</w:t>
            </w:r>
            <w:r w:rsidR="004B2881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/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uslovima UZS</w:t>
            </w:r>
            <w:r w:rsidR="001E4EC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  <w:r w:rsidR="004B2881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Politike su lako dostupne i implementirane od strane svih izvođača i podizvođača. Uključeno 100% u ugovorima izvođača i podizvođača.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1C3F34" w14:textId="77777777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2C2043" w:rsidRPr="00703F29" w14:paraId="6796662F" w14:textId="77777777" w:rsidTr="00BB45AF">
        <w:trPr>
          <w:trHeight w:val="376"/>
        </w:trPr>
        <w:tc>
          <w:tcPr>
            <w:tcW w:w="67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6617166" w14:textId="57087D1A" w:rsidR="002C2043" w:rsidRPr="00703F29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2.</w:t>
            </w:r>
            <w:r w:rsidR="00EF3A4E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C1A77C7" w14:textId="6C951B0E" w:rsidR="002C2043" w:rsidRPr="00703F29" w:rsidRDefault="00341CD9" w:rsidP="002C2043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Upravljanje bezb</w:t>
            </w:r>
            <w:r w:rsidR="00357FB4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je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dnosnim rizicima</w:t>
            </w:r>
          </w:p>
          <w:p w14:paraId="23482435" w14:textId="3D4B9BBD" w:rsidR="009A4BF4" w:rsidRPr="00703F29" w:rsidRDefault="009A4BF4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UZS će izvršiti procjenu bezbednosnih rizika i tražiti od izvođača </w:t>
            </w:r>
            <w:r w:rsidRPr="00B753A7">
              <w:rPr>
                <w:rFonts w:ascii="Corbel" w:eastAsia="Times New Roman" w:hAnsi="Corbel" w:cs="Arial"/>
                <w:color w:val="000000"/>
                <w:sz w:val="18"/>
                <w:szCs w:val="18"/>
                <w:lang w:val="sr-Latn-ME"/>
              </w:rPr>
              <w:t xml:space="preserve">da </w:t>
            </w:r>
            <w:r w:rsidRPr="00B753A7">
              <w:rPr>
                <w:rFonts w:ascii="Corbel" w:hAnsi="Corbel"/>
                <w:sz w:val="18"/>
                <w:szCs w:val="18"/>
                <w:lang w:val="sr-Latn-ME"/>
              </w:rPr>
              <w:t>vrši</w:t>
            </w:r>
            <w:r w:rsidRPr="00703F29">
              <w:rPr>
                <w:lang w:val="sr-Latn-ME"/>
              </w:rPr>
              <w:t xml:space="preserve"> 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upravljanje bezb</w:t>
            </w:r>
            <w:r w:rsidR="00B753A7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ednošću (npr. u okviru</w:t>
            </w:r>
            <w:r w:rsidRPr="00703F29">
              <w:rPr>
                <w:lang w:val="sr-Latn-ME"/>
              </w:rPr>
              <w:t xml:space="preserve"> 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Plana upravljanja radnom snagom i radnim uslovima ) u skladu sa zaht</w:t>
            </w:r>
            <w:r w:rsidR="00357FB4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evima UR2 i dobrovoljnim principima o bezb</w:t>
            </w:r>
            <w:r w:rsidR="00B753A7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ednosti i ljudskim pravima.</w:t>
            </w:r>
          </w:p>
        </w:tc>
        <w:tc>
          <w:tcPr>
            <w:tcW w:w="1703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1A1CA0A" w14:textId="39162777" w:rsidR="002C2043" w:rsidRPr="00703F29" w:rsidRDefault="00357FB4" w:rsidP="00B753A7">
            <w:pPr>
              <w:tabs>
                <w:tab w:val="center" w:pos="1951"/>
                <w:tab w:val="center" w:pos="3935"/>
                <w:tab w:val="center" w:pos="5919"/>
                <w:tab w:val="center" w:pos="7828"/>
                <w:tab w:val="center" w:pos="8538"/>
                <w:tab w:val="center" w:pos="9320"/>
                <w:tab w:val="right" w:pos="11231"/>
              </w:tabs>
              <w:spacing w:before="60" w:after="60"/>
              <w:ind w:right="-7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Smanjenje</w:t>
            </w:r>
            <w:r w:rsidRPr="00703F29">
              <w:rPr>
                <w:lang w:val="sr-Latn-ME"/>
              </w:rPr>
              <w:t xml:space="preserve">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bezbjednosnih rizika i 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rizika ugrožavanja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ljudskih prava.</w:t>
            </w:r>
          </w:p>
        </w:tc>
        <w:tc>
          <w:tcPr>
            <w:tcW w:w="141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F2D8522" w14:textId="47D24C13" w:rsidR="002C2043" w:rsidRPr="00703F29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EBRD </w:t>
            </w:r>
            <w:r w:rsidR="00357FB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R2</w:t>
            </w:r>
          </w:p>
          <w:p w14:paraId="60591C00" w14:textId="575D8E64" w:rsidR="002C2043" w:rsidRPr="00703F29" w:rsidRDefault="00B753A7" w:rsidP="00B753A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D</w:t>
            </w:r>
            <w:r w:rsidR="0007625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obrovoljni </w:t>
            </w:r>
            <w:r w:rsidR="004619A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standardi</w:t>
            </w:r>
          </w:p>
          <w:p w14:paraId="56D0B1BB" w14:textId="426A72F9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G</w:t>
            </w:r>
            <w:r w:rsidR="00F45BB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IP</w:t>
            </w:r>
          </w:p>
        </w:tc>
        <w:tc>
          <w:tcPr>
            <w:tcW w:w="170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0ADF408" w14:textId="77777777" w:rsidR="004619A0" w:rsidRPr="00703F29" w:rsidRDefault="004619A0" w:rsidP="0069000F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Resursi izvođača.</w:t>
            </w:r>
          </w:p>
          <w:p w14:paraId="1F3F3372" w14:textId="08C981A5" w:rsidR="0069000F" w:rsidRPr="00703F29" w:rsidRDefault="004619A0" w:rsidP="0069000F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Nadzor UZS</w:t>
            </w:r>
          </w:p>
        </w:tc>
        <w:tc>
          <w:tcPr>
            <w:tcW w:w="1557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6A54E17" w14:textId="449F79F1" w:rsidR="004619A0" w:rsidRPr="00703F29" w:rsidRDefault="00694BF9" w:rsidP="00B753A7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Dva mjeseca prije raspisivanja tendera za 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odabir firme </w:t>
            </w:r>
            <w:r w:rsidR="00F45BB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oblast</w:t>
            </w:r>
            <w:r w:rsidR="00F45BB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upravljanja bezbjednošću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EB8AADF" w14:textId="61EDEB78" w:rsidR="00694BF9" w:rsidRPr="00703F29" w:rsidRDefault="00694BF9" w:rsidP="00B753A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Adekvatna procjena bezbjednosnih rizika.</w:t>
            </w:r>
          </w:p>
          <w:p w14:paraId="1EB1B29B" w14:textId="4063FBCF" w:rsidR="002C2043" w:rsidRPr="00703F29" w:rsidRDefault="00694BF9" w:rsidP="00B753A7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Uspostavljanje Plana za upravljanje bezb</w:t>
            </w:r>
            <w:r w:rsidR="00B753A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ednošću i izvještavanje </w:t>
            </w:r>
            <w:r w:rsidR="00325F6E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njegovoj implementaciji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21DAD84" w14:textId="77777777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</w:tbl>
    <w:p w14:paraId="0D71315B" w14:textId="77777777" w:rsidR="00B753A7" w:rsidRPr="00703F29" w:rsidRDefault="00B753A7">
      <w:pPr>
        <w:rPr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15135" w:type="dxa"/>
        <w:tblInd w:w="0" w:type="dxa"/>
        <w:tblLayout w:type="fixed"/>
        <w:tblCellMar>
          <w:top w:w="12" w:type="dxa"/>
          <w:left w:w="107" w:type="dxa"/>
        </w:tblCellMar>
        <w:tblLook w:val="04A0" w:firstRow="1" w:lastRow="0" w:firstColumn="1" w:lastColumn="0" w:noHBand="0" w:noVBand="1"/>
      </w:tblPr>
      <w:tblGrid>
        <w:gridCol w:w="671"/>
        <w:gridCol w:w="3968"/>
        <w:gridCol w:w="1731"/>
        <w:gridCol w:w="19"/>
        <w:gridCol w:w="1399"/>
        <w:gridCol w:w="19"/>
        <w:gridCol w:w="1682"/>
        <w:gridCol w:w="19"/>
        <w:gridCol w:w="1512"/>
        <w:gridCol w:w="2979"/>
        <w:gridCol w:w="1136"/>
      </w:tblGrid>
      <w:tr w:rsidR="002C2043" w:rsidRPr="00703F29" w14:paraId="350D31C0" w14:textId="77777777" w:rsidTr="001610B3">
        <w:trPr>
          <w:trHeight w:val="469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57DF6311" w14:textId="4945DF54" w:rsidR="002C2043" w:rsidRPr="00703F29" w:rsidRDefault="005E242E" w:rsidP="002C2043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U</w:t>
            </w:r>
            <w:r w:rsidR="00657F37"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R3</w:t>
            </w:r>
          </w:p>
        </w:tc>
        <w:tc>
          <w:tcPr>
            <w:tcW w:w="13328" w:type="dxa"/>
            <w:gridSpan w:val="9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/>
            <w:vAlign w:val="center"/>
          </w:tcPr>
          <w:p w14:paraId="2FE85B25" w14:textId="7792A8F5" w:rsidR="002C2043" w:rsidRPr="00703F29" w:rsidRDefault="008F39BB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Efikasnost resursa</w:t>
            </w:r>
            <w:r w:rsidR="00325F6E"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,</w:t>
            </w: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 xml:space="preserve"> sprječavanje i kontrola zagađenja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7FFD575B" w14:textId="77777777" w:rsidR="002C2043" w:rsidRPr="00703F29" w:rsidRDefault="002C2043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513826" w:rsidRPr="00703F29" w14:paraId="29F239F8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AD7554D" w14:textId="354AF840" w:rsidR="00513826" w:rsidRPr="00703F29" w:rsidRDefault="00513826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3.1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470EAD5" w14:textId="065A2CDC" w:rsidR="008F39BB" w:rsidRPr="00703F29" w:rsidRDefault="00F45BB7" w:rsidP="002C2043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  <w:lang w:val="sr-Latn-ME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  <w:lang w:val="sr-Latn-ME"/>
              </w:rPr>
              <w:t>Resursna efikasnost</w:t>
            </w:r>
          </w:p>
          <w:p w14:paraId="01F01CA7" w14:textId="3E2C0BDE" w:rsidR="00513826" w:rsidRPr="00703F29" w:rsidRDefault="008F39BB" w:rsidP="00084267">
            <w:pPr>
              <w:spacing w:before="60" w:after="60"/>
              <w:jc w:val="both"/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Izvođač radova će izraditi </w:t>
            </w:r>
            <w:r w:rsidR="00543EB3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P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lan upravljanja resursima kako bi pokazao na koji način će povećati efikasnost resursa (npr. </w:t>
            </w:r>
            <w:r w:rsidR="00543EB3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p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onovna upotreba </w:t>
            </w:r>
            <w:r w:rsidR="00543EB3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iskorišćenog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 materijala)</w:t>
            </w:r>
            <w:r w:rsidR="00084267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387F68D" w14:textId="37218748" w:rsidR="00513826" w:rsidRPr="00703F29" w:rsidRDefault="00F45BB7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Resursna efikasnost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20A6ECB" w14:textId="1988DFF9" w:rsidR="00513826" w:rsidRPr="00703F29" w:rsidRDefault="003A092E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EBRD </w:t>
            </w:r>
            <w:r w:rsidR="008F39BB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R2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5493DFC" w14:textId="7C29C148" w:rsidR="00513826" w:rsidRPr="00703F29" w:rsidRDefault="008F39BB" w:rsidP="002C2043">
            <w:pPr>
              <w:spacing w:before="60" w:after="60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Izvođač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5DBB708" w14:textId="193A4D4E" w:rsidR="00513826" w:rsidRPr="00703F29" w:rsidRDefault="00543EB3" w:rsidP="0008426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Mjesec dana prije početka </w:t>
            </w:r>
            <w:r w:rsidR="00325F6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gradnje</w:t>
            </w:r>
            <w:r w:rsidR="00325F6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9095026" w14:textId="3D638591" w:rsidR="00513826" w:rsidRPr="00703F29" w:rsidRDefault="00543EB3" w:rsidP="0008426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Uspostavlj</w:t>
            </w:r>
            <w:r w:rsidR="00F80EE2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anje 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plan</w:t>
            </w:r>
            <w:r w:rsidR="00F80EE2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a i njegova implementacij</w:t>
            </w:r>
            <w:r w:rsidR="0038321B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a</w:t>
            </w:r>
            <w:r w:rsidR="00F80EE2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549C04" w14:textId="77777777" w:rsidR="00513826" w:rsidRPr="00703F29" w:rsidRDefault="00513826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2C2043" w:rsidRPr="00703F29" w14:paraId="374F82AF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C7710F7" w14:textId="4F32EDAE" w:rsidR="002C2043" w:rsidRPr="00703F29" w:rsidRDefault="002C2043" w:rsidP="002C204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EE6B6F" w14:textId="5ED878B4" w:rsidR="00F12348" w:rsidRPr="00703F29" w:rsidRDefault="005E242E" w:rsidP="002C2043">
            <w:pPr>
              <w:spacing w:before="60" w:after="60"/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Kvalitet vazduha</w:t>
            </w:r>
            <w:r w:rsidR="00F12348"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 xml:space="preserve">, </w:t>
            </w: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buka</w:t>
            </w:r>
            <w:r w:rsidR="00F12348"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 xml:space="preserve"> &amp; </w:t>
            </w: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vibracije</w:t>
            </w:r>
          </w:p>
          <w:p w14:paraId="78C4B5F0" w14:textId="7AE6C707" w:rsidR="005E242E" w:rsidRPr="00703F29" w:rsidRDefault="005E242E" w:rsidP="00084267">
            <w:pPr>
              <w:spacing w:before="60" w:after="60"/>
              <w:jc w:val="both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Izvođač radova će </w:t>
            </w:r>
            <w:r w:rsidR="00723F8E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izraditi </w:t>
            </w:r>
            <w:r w:rsidR="006669A7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lanove kvaliteta vazduha i buke/upravljanja vibracijama </w:t>
            </w:r>
            <w:r w:rsidR="00723F8E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u skladu sa zatjevima EBRD, 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kako bi uključio sve m</w:t>
            </w:r>
            <w:r w:rsidR="006669A7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ere ublažavanja koje su utvrđene u ESIA</w:t>
            </w:r>
            <w:r w:rsidR="006669A7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studiji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, </w:t>
            </w:r>
            <w:r w:rsidR="00F45BB7">
              <w:rPr>
                <w:rFonts w:ascii="Corbel" w:hAnsi="Corbel" w:cs="Segoe UI"/>
                <w:sz w:val="20"/>
                <w:szCs w:val="20"/>
                <w:lang w:val="sr-Latn-ME"/>
              </w:rPr>
              <w:t>i uključeni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Okvir</w:t>
            </w:r>
            <w:r w:rsidR="006669A7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ni</w:t>
            </w:r>
            <w:r w:rsidR="004F51EE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ESMP.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84ACB4" w14:textId="41761604" w:rsidR="002C2043" w:rsidRPr="00703F29" w:rsidRDefault="00543EB3" w:rsidP="004F51EE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Omogućiti e</w:t>
            </w:r>
            <w:r w:rsidR="004F51EE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fikasan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menadžment i ublažavanje uticaja vezanih za kvalitet vazduha, nivo buke i vibracija.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E23A40" w14:textId="1DB1E8B6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EBRD </w:t>
            </w:r>
            <w:r w:rsidR="00543EB3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R3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E18051" w14:textId="5BDEFF73" w:rsidR="002C2043" w:rsidRPr="00703F29" w:rsidRDefault="008F39BB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Izvođač(i)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047FD1" w14:textId="6CB462CE" w:rsidR="002C2043" w:rsidRPr="00703F29" w:rsidRDefault="00543EB3" w:rsidP="004F51EE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Dva mjeseca prije početka </w:t>
            </w:r>
            <w:r w:rsidR="00325F6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gradnje</w:t>
            </w:r>
            <w:r w:rsidR="00325F6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7A826FA" w14:textId="217B3892" w:rsidR="00543EB3" w:rsidRPr="00703F29" w:rsidRDefault="00543EB3" w:rsidP="004F51EE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Planovi upravljanja revidovani i potpisani od strane UZS prije početka izgradnje. Implementacija Plana upravljanja navedena u svim </w:t>
            </w:r>
            <w:r w:rsidR="004F51EE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ugovorima sa podizvođačima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8EC2B8D" w14:textId="77777777" w:rsidR="002C2043" w:rsidRPr="00703F29" w:rsidRDefault="002C2043" w:rsidP="002C204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50307" w:rsidRPr="00703F29" w14:paraId="231A7B53" w14:textId="77777777" w:rsidTr="00002B24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05551D7" w14:textId="32BCC4B3" w:rsidR="00950307" w:rsidRPr="00703F29" w:rsidRDefault="00950307" w:rsidP="00950307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3.3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AFF1CE" w14:textId="2B0554F6" w:rsidR="00950307" w:rsidRPr="00703F29" w:rsidRDefault="00B91F09" w:rsidP="00950307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u w:val="single"/>
                <w:lang w:val="sr-Latn-ME"/>
              </w:rPr>
              <w:t>Zaštita vodnih resursa</w:t>
            </w:r>
          </w:p>
          <w:p w14:paraId="1397B22E" w14:textId="0F35F13D" w:rsidR="00950307" w:rsidRPr="00703F29" w:rsidRDefault="00FE12A5" w:rsidP="004F51EE">
            <w:pPr>
              <w:spacing w:before="60" w:after="60"/>
              <w:jc w:val="both"/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Izvođač radova će uspostaviti C-ESMP-ove za rad</w:t>
            </w:r>
            <w:r w:rsidR="00723F8E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ove koji će se izvoditi 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u vodi, </w:t>
            </w:r>
            <w:r w:rsidR="00723F8E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koji će definisati mjere za 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spr</w:t>
            </w:r>
            <w:r w:rsidR="004F51EE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ečavanje zagađenja i reagovanje u vanrednim situacijama. </w:t>
            </w:r>
            <w:r w:rsidR="00723F8E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Navedeni planovi će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723F8E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sadržati 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sve mjere ublažavanja </w:t>
            </w:r>
            <w:r w:rsidR="00B665D5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definisane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 u ESIA</w:t>
            </w:r>
            <w:r w:rsidR="00723F8E"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 xml:space="preserve"> studiji</w:t>
            </w:r>
            <w:r w:rsidRPr="00703F29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4" w:space="0" w:color="auto"/>
              <w:right w:val="single" w:sz="8" w:space="0" w:color="00539B"/>
            </w:tcBorders>
          </w:tcPr>
          <w:p w14:paraId="20728533" w14:textId="4DF86AEC" w:rsidR="00950307" w:rsidRPr="00703F29" w:rsidRDefault="00950307" w:rsidP="004F51EE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highlight w:val="yellow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Smanjeni </w:t>
            </w:r>
            <w:r w:rsidR="00D767EF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rizici vezani za vodne resurse i</w:t>
            </w:r>
            <w:r w:rsidR="008B5D1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kvalitet vode tokom izgradnje.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9773F4" w14:textId="3E0C4462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EBRD UR3</w:t>
            </w:r>
          </w:p>
          <w:p w14:paraId="646CB97C" w14:textId="0C075F23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EU i nacionalno zakonodavstvo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A14C096" w14:textId="29C22C65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Izvođač(i)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2CFB9B" w14:textId="1E40DF61" w:rsidR="00950307" w:rsidRPr="00703F29" w:rsidRDefault="00950307" w:rsidP="004F5B15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Prije početka izgradnje</w:t>
            </w:r>
            <w:r w:rsidRPr="00703F29" w:rsidDel="00743A4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E947F26" w14:textId="77777777" w:rsidR="0038321B" w:rsidRPr="00703F29" w:rsidRDefault="0038321B" w:rsidP="004F5B15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Planovi upravljanja revidovani i potpisani od strane UZS prije početka izgradnje.</w:t>
            </w:r>
          </w:p>
          <w:p w14:paraId="3FE2C4B2" w14:textId="53E22D50" w:rsidR="00950307" w:rsidRPr="00703F29" w:rsidRDefault="0038321B" w:rsidP="004F5B15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Implementacija Plana upravljanja koji će biti naveden u svim </w:t>
            </w:r>
            <w:r w:rsid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ugovorima sa podizvođačima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9A0A658" w14:textId="77777777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50307" w:rsidRPr="00703F29" w14:paraId="05D69266" w14:textId="77777777" w:rsidTr="00002B24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24BFA0C" w14:textId="31DEAFEB" w:rsidR="00950307" w:rsidRPr="00703F29" w:rsidRDefault="00950307" w:rsidP="00950307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3.4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5644E8" w14:textId="571F673B" w:rsidR="005038C6" w:rsidRPr="006C4798" w:rsidRDefault="00247708" w:rsidP="00950307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 xml:space="preserve">Projekat </w:t>
            </w:r>
            <w:r w:rsidR="00002B24"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odvođenja voda</w:t>
            </w:r>
          </w:p>
          <w:p w14:paraId="25AA5CE1" w14:textId="1D4FD44E" w:rsidR="00950307" w:rsidRPr="00703F29" w:rsidRDefault="00B019B1" w:rsidP="00950307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>
              <w:rPr>
                <w:rFonts w:ascii="Corbel" w:hAnsi="Corbel" w:cs="Segoe UI"/>
                <w:sz w:val="20"/>
                <w:szCs w:val="20"/>
                <w:lang w:val="sr-Latn-ME"/>
              </w:rPr>
              <w:t>UZS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će naručiti ili preduzeti dodatni tehnički (inž</w:t>
            </w:r>
            <w:r w:rsidR="006C4798">
              <w:rPr>
                <w:rFonts w:ascii="Corbel" w:hAnsi="Corbel" w:cs="Segoe UI"/>
                <w:sz w:val="20"/>
                <w:szCs w:val="20"/>
                <w:lang w:val="sr-Latn-ME"/>
              </w:rPr>
              <w:t>e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njerski) pregled/reviziju detaljnog projekta odvodnje kako bi se potvrdilo da su 1) mere zaštite adekvatne za zaštitu 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Tivatskih solila 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>u normalnim uslovima rada i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>u slu</w:t>
            </w:r>
            <w:r w:rsidRPr="00B019B1">
              <w:rPr>
                <w:rFonts w:ascii="Corbel" w:hAnsi="Corbel" w:cs="Corbel"/>
                <w:sz w:val="20"/>
                <w:szCs w:val="20"/>
                <w:lang w:val="sr-Latn-ME"/>
              </w:rPr>
              <w:t>č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>aju nezgode/prosipanja na putu 2) predložene mere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koje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će se baviti pitanjima 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zajednice koje se odnose na 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>rizik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>e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od poplav</w:t>
            </w:r>
            <w:r>
              <w:rPr>
                <w:rFonts w:ascii="Corbel" w:hAnsi="Corbel" w:cs="Segoe UI"/>
                <w:sz w:val="20"/>
                <w:szCs w:val="20"/>
                <w:lang w:val="sr-Latn-ME"/>
              </w:rPr>
              <w:t>a</w:t>
            </w:r>
            <w:r w:rsidRPr="00B019B1">
              <w:rPr>
                <w:rFonts w:ascii="Corbel" w:hAnsi="Corbel" w:cs="Segoe U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3B9E1C8" w14:textId="269D50D7" w:rsidR="00950307" w:rsidRPr="00703F29" w:rsidRDefault="00176F08" w:rsidP="004F5B15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Smanj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eni rizici</w:t>
            </w:r>
            <w:r w:rsidR="00163E50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7E42B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vezan</w:t>
            </w:r>
            <w:r w:rsid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</w:t>
            </w:r>
            <w:r w:rsidR="007E42B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za</w:t>
            </w:r>
            <w:r w:rsidR="00163E50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7E42B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odvođenje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vode, </w:t>
            </w:r>
            <w:r w:rsidR="007E42B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izlivanje</w:t>
            </w:r>
            <w:r w:rsidR="008E4CF8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i</w:t>
            </w:r>
            <w:r w:rsidR="007E42B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poplave</w:t>
            </w:r>
            <w:r w:rsidR="00163E50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8A6C74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kao i sa tim </w:t>
            </w:r>
            <w:r w:rsid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zabrinutost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zajednice </w:t>
            </w:r>
            <w:r w:rsidR="008E4CF8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zbog poplava </w:t>
            </w:r>
            <w:r w:rsidR="00723F8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koje se javljaju na </w:t>
            </w:r>
            <w:r w:rsidR="008A6C74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predmetnom putu.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B164015" w14:textId="77777777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EBRD UR3</w:t>
            </w:r>
          </w:p>
          <w:p w14:paraId="5D17786A" w14:textId="5FA52CF6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EU i nacionalno zakonodavstvo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7374A4" w14:textId="7BA740FE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UZS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04E9444" w14:textId="094735F6" w:rsidR="00950307" w:rsidRPr="004F5B15" w:rsidRDefault="00950307" w:rsidP="004F5B15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4F5B15">
              <w:rPr>
                <w:rFonts w:ascii="Corbel" w:hAnsi="Corbel" w:cs="Segoe UI"/>
                <w:sz w:val="20"/>
                <w:szCs w:val="20"/>
                <w:lang w:val="sr-Latn-ME"/>
              </w:rPr>
              <w:t>Prije početka izgradnje</w:t>
            </w:r>
            <w:r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57BC34" w14:textId="4B68CF1C" w:rsidR="001F437A" w:rsidRPr="004F5B15" w:rsidRDefault="001F437A" w:rsidP="004F5B15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Izvještaj o reviziji </w:t>
            </w:r>
            <w:r w:rsidR="0062415E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da bude </w:t>
            </w:r>
            <w:r w:rsidR="00DD152B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pripremljen i dostavljen EBRD prije </w:t>
            </w:r>
            <w:r w:rsidR="0062415E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imenovanja izvođača radova.</w:t>
            </w:r>
          </w:p>
          <w:p w14:paraId="4293D3F5" w14:textId="4BDB3C1A" w:rsidR="00950307" w:rsidRPr="004F5B15" w:rsidRDefault="00CF500C" w:rsidP="004F5B15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A</w:t>
            </w:r>
            <w:r w:rsidR="00AE74B0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dekvatno angažovanje </w:t>
            </w:r>
            <w:r w:rsidR="00002B24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zainteresovanih</w:t>
            </w:r>
            <w:r w:rsidR="00AE74B0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strana </w:t>
            </w:r>
            <w:r w:rsidR="00002B24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koje su</w:t>
            </w:r>
            <w:r w:rsidR="00AE74B0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4F5B15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pod uticajem projekta u skladu sa</w:t>
            </w:r>
            <w:r w:rsidR="00170BED" w:rsidRPr="004F5B15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predloženim planovima.</w:t>
            </w:r>
          </w:p>
          <w:p w14:paraId="519AC2A1" w14:textId="349D7E8C" w:rsidR="00002B24" w:rsidRPr="004F5B15" w:rsidRDefault="00002B24" w:rsidP="004F5B15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2970BB" w14:textId="77777777" w:rsidR="00950307" w:rsidRPr="00703F29" w:rsidRDefault="00950307" w:rsidP="00950307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4720AE" w:rsidRPr="00703F29" w14:paraId="20F0C5F2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C0FAEA3" w14:textId="5D760D55" w:rsidR="004720AE" w:rsidRPr="00703F29" w:rsidRDefault="004720AE" w:rsidP="004720AE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3.5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D2B0F63" w14:textId="6609D56A" w:rsidR="004E440A" w:rsidRDefault="00361ADD" w:rsidP="00350088">
            <w:pPr>
              <w:spacing w:before="60" w:after="60"/>
              <w:ind w:right="104"/>
              <w:jc w:val="both"/>
              <w:textAlignment w:val="baseline"/>
              <w:rPr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 xml:space="preserve">Planovi upravljanja </w:t>
            </w:r>
            <w:r w:rsidR="004E440A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 xml:space="preserve">građevinskim </w:t>
            </w: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otpadom</w:t>
            </w:r>
            <w:r w:rsidR="004720AE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  </w:t>
            </w:r>
            <w:r w:rsidR="00126CBB" w:rsidRPr="00703F29">
              <w:rPr>
                <w:lang w:val="sr-Latn-ME"/>
              </w:rPr>
              <w:t xml:space="preserve"> </w:t>
            </w:r>
          </w:p>
          <w:p w14:paraId="50AB6800" w14:textId="097BCB18" w:rsidR="004720AE" w:rsidRPr="00703F29" w:rsidRDefault="00126CBB" w:rsidP="00350088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Izvođač radova će izraditi Planove upravljanja građevinskim otpadom (neopasni i opasni 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lastRenderedPageBreak/>
              <w:t>otpad) koji se baziraju na hijerarhiji ublažavanja u skladu sa EBRD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politikom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. Sav otpad će biti odložen na </w:t>
            </w:r>
            <w:r w:rsidR="00140943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lokaciji odobrenoj od strane 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nadležnog</w:t>
            </w:r>
            <w:r w:rsidR="000B6303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preduzeća</w:t>
            </w:r>
            <w:r w:rsidR="000B6303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31" w:type="dxa"/>
            <w:tcBorders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C19819" w14:textId="17CB3756" w:rsidR="004720AE" w:rsidRPr="00703F29" w:rsidRDefault="000B6303" w:rsidP="004E440A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lastRenderedPageBreak/>
              <w:t xml:space="preserve">Kontrola opasnog </w:t>
            </w:r>
            <w:r w:rsidR="00002B24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neopasnog otpada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4845C9C" w14:textId="3D9D950F" w:rsidR="004720AE" w:rsidRPr="00703F29" w:rsidRDefault="000B6303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EBRD UR</w:t>
            </w:r>
            <w:r w:rsidR="004720A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</w:t>
            </w:r>
          </w:p>
          <w:p w14:paraId="4FF4D797" w14:textId="0A50DCD0" w:rsidR="004720AE" w:rsidRPr="00703F29" w:rsidRDefault="000B6303" w:rsidP="000B630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lastRenderedPageBreak/>
              <w:t xml:space="preserve">EU </w:t>
            </w:r>
            <w:r w:rsidR="00547205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i </w:t>
            </w: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nacionalno zakonodavstvo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FF93E5" w14:textId="6404D443" w:rsidR="004720AE" w:rsidRPr="00703F29" w:rsidRDefault="00AC1DE2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lastRenderedPageBreak/>
              <w:t>Resursi izvođača</w:t>
            </w:r>
            <w:r w:rsidR="004720AE"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DD9A271" w14:textId="6E1DA3DF" w:rsidR="004720AE" w:rsidRPr="00703F29" w:rsidRDefault="00AC1DE2" w:rsidP="004E440A">
            <w:pPr>
              <w:spacing w:before="60" w:after="60"/>
              <w:ind w:left="1"/>
              <w:jc w:val="both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Prije početka izgradnj</w:t>
            </w:r>
            <w:r w:rsidR="00950307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e 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89212FB" w14:textId="77777777" w:rsidR="000979B0" w:rsidRPr="00703F29" w:rsidRDefault="000979B0" w:rsidP="004E440A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Planovi upravljanja revidovani i potpisani od strane UZS prije početka izgradnje.</w:t>
            </w:r>
          </w:p>
          <w:p w14:paraId="11399269" w14:textId="66EED410" w:rsidR="004720AE" w:rsidRPr="00703F29" w:rsidRDefault="000979B0" w:rsidP="004E440A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lastRenderedPageBreak/>
              <w:t>Implementacija Plana upravljanja koji će biti naveden u svim podugovorima.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8B272F3" w14:textId="77777777" w:rsidR="004720AE" w:rsidRPr="00703F29" w:rsidRDefault="004720AE" w:rsidP="004720AE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C87CB0" w:rsidRPr="00703F29" w14:paraId="3E2BA563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04847ED" w14:textId="5E71AD20" w:rsidR="00C87CB0" w:rsidRPr="00703F29" w:rsidRDefault="00C87CB0" w:rsidP="00C87CB0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3.6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BCB2644" w14:textId="77777777" w:rsidR="00C87CB0" w:rsidRPr="00703F29" w:rsidRDefault="00C87CB0" w:rsidP="00C87CB0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</w:pPr>
            <w:r w:rsidRPr="00703F29">
              <w:rPr>
                <w:rFonts w:ascii="Corbel" w:hAnsi="Corbel" w:cs="Segoe UI"/>
                <w:b/>
                <w:bCs/>
                <w:sz w:val="20"/>
                <w:szCs w:val="20"/>
                <w:u w:val="single"/>
                <w:lang w:val="sr-Latn-ME"/>
              </w:rPr>
              <w:t>Planovi upravljanja opasnim materijalima</w:t>
            </w:r>
          </w:p>
          <w:p w14:paraId="0FFC01AD" w14:textId="4CB4F629" w:rsidR="00C87CB0" w:rsidRPr="00703F29" w:rsidRDefault="00C87CB0" w:rsidP="00C87CB0">
            <w:pPr>
              <w:spacing w:before="60" w:after="60"/>
              <w:ind w:right="104"/>
              <w:jc w:val="both"/>
              <w:textAlignment w:val="baseline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Izvođač radova će izraditi Planove upravljanja opasnim materijalima (neopasni i opasni otpad) koji se baziraju na hijerarhiji ublažavanja u skladu sa EBRD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politikom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. Sav otpad će biti odložen na lokaciji odobrenoj od strane 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nadležnog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 xml:space="preserve"> </w:t>
            </w:r>
            <w:r w:rsidR="00002B24"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preduzeća</w:t>
            </w: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731" w:type="dxa"/>
            <w:tcBorders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1D914A0" w14:textId="3A4B40E8" w:rsidR="00C87CB0" w:rsidRPr="00703F29" w:rsidRDefault="00C87CB0" w:rsidP="004E440A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Kontrola izlaganja opasnim materijalima.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F57C0D1" w14:textId="77777777" w:rsidR="00C87CB0" w:rsidRPr="00703F29" w:rsidRDefault="00C87CB0" w:rsidP="00C87CB0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EBRD UR3</w:t>
            </w:r>
          </w:p>
          <w:p w14:paraId="0FF9229B" w14:textId="13CCC164" w:rsidR="00C87CB0" w:rsidRPr="00703F29" w:rsidRDefault="00C87CB0" w:rsidP="00C87CB0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EU i nacionalno zakonodavstvo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3B15E09" w14:textId="5641685E" w:rsidR="00C87CB0" w:rsidRPr="00703F29" w:rsidRDefault="00C87CB0" w:rsidP="004E440A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Resursi izvođača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6717549" w14:textId="7DC5594E" w:rsidR="00C87CB0" w:rsidRPr="00703F29" w:rsidRDefault="00C87CB0" w:rsidP="004E440A">
            <w:pPr>
              <w:spacing w:before="60" w:after="60"/>
              <w:ind w:left="1"/>
              <w:jc w:val="both"/>
              <w:rPr>
                <w:rFonts w:ascii="Corbel" w:hAnsi="Corbel" w:cs="Segoe UI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Segoe UI"/>
                <w:sz w:val="20"/>
                <w:szCs w:val="20"/>
                <w:lang w:val="sr-Latn-ME"/>
              </w:rPr>
              <w:t>Prije početka izgradnje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70C5011" w14:textId="77777777" w:rsidR="00C87CB0" w:rsidRPr="00703F29" w:rsidRDefault="00C87CB0" w:rsidP="004E440A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Planovi upravljanja revidovani i potpisani od strane UZS prije početka izgradnje.</w:t>
            </w:r>
          </w:p>
          <w:p w14:paraId="69AD2837" w14:textId="3E686801" w:rsidR="00C87CB0" w:rsidRPr="00703F29" w:rsidRDefault="00C87CB0" w:rsidP="004E440A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  <w:t>Implementacija Plana upravljanja koji će biti naveden u svim podugovorima.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2ECB6C0" w14:textId="77777777" w:rsidR="00C87CB0" w:rsidRPr="00703F29" w:rsidRDefault="00C87CB0" w:rsidP="00C87CB0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846998" w:rsidRPr="00703F29" w14:paraId="4F51B190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9E2F3" w:themeFill="accent1" w:themeFillTint="33"/>
          </w:tcPr>
          <w:p w14:paraId="13BB0C14" w14:textId="1FC28A47" w:rsidR="00846998" w:rsidRPr="00703F29" w:rsidRDefault="005E242E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U</w:t>
            </w:r>
            <w:r w:rsidR="00846998"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R4</w:t>
            </w:r>
          </w:p>
        </w:tc>
        <w:tc>
          <w:tcPr>
            <w:tcW w:w="14464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9E2F3" w:themeFill="accent1" w:themeFillTint="33"/>
          </w:tcPr>
          <w:p w14:paraId="09CB1783" w14:textId="2E6A5C51" w:rsidR="00846998" w:rsidRPr="00703F29" w:rsidRDefault="005E242E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20"/>
                <w:szCs w:val="20"/>
                <w:lang w:val="sr-Latn-ME"/>
              </w:rPr>
              <w:t>Bezbjednost i zdravlje</w:t>
            </w:r>
          </w:p>
        </w:tc>
      </w:tr>
      <w:tr w:rsidR="00846998" w:rsidRPr="00703F29" w14:paraId="4215B8E5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EDC24AB" w14:textId="41E6FC7D" w:rsidR="00846998" w:rsidRPr="00703F29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4.1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10F4EB6" w14:textId="74448EB7" w:rsidR="001B423C" w:rsidRPr="00703F29" w:rsidRDefault="008E131B" w:rsidP="00E13521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Plan zaštite zdravlja i bezbjednosti na radu</w:t>
            </w:r>
            <w:r w:rsidR="000403E4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 (OHS)</w:t>
            </w:r>
          </w:p>
          <w:p w14:paraId="62E2C558" w14:textId="114F6E30" w:rsidR="00F8749E" w:rsidRPr="00703F29" w:rsidRDefault="006F7575" w:rsidP="003E3407">
            <w:pPr>
              <w:pStyle w:val="ListBullet"/>
              <w:ind w:left="0"/>
              <w:contextualSpacing w:val="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UZS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002B2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 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zahtijeva od 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zvođača da izradi </w:t>
            </w:r>
            <w:r w:rsidR="00E13521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Plan 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upravljanja zaštitom na radu u skladu sa EBRD</w:t>
            </w:r>
            <w:r w:rsidR="00002B2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politikom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Pla</w:t>
            </w:r>
            <w:r w:rsidR="00E13521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 treba da uključuje zahtjeve UR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2 i </w:t>
            </w:r>
            <w:r w:rsidR="003A4298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UR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4, rizik od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infekcije korona virusom (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Covid-19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)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treba da uključi, između ostalog:</w:t>
            </w:r>
          </w:p>
          <w:p w14:paraId="6CE07FFF" w14:textId="3AD02F93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color w:val="auto"/>
                <w:sz w:val="19"/>
                <w:szCs w:val="19"/>
                <w:lang w:val="sr-Latn-ME"/>
              </w:rPr>
              <w:t>Specifične procjene rizika aktivnosti (uključujući sve teme EHSS);</w:t>
            </w:r>
          </w:p>
          <w:p w14:paraId="576640C1" w14:textId="4184E7E0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Posebne postupke i operativne kontrole da se r</w:t>
            </w:r>
            <w:r w:rsidR="00524FE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izici i uticaj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 </w:t>
            </w:r>
            <w:r w:rsidR="00524FE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svedu na minimum;</w:t>
            </w:r>
          </w:p>
          <w:p w14:paraId="3DE183E0" w14:textId="04EE6269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Obuka i osposobljavanje </w:t>
            </w:r>
            <w:r w:rsidR="006F7575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kadra</w:t>
            </w:r>
            <w:r w:rsidR="00524FE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;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</w:p>
          <w:p w14:paraId="11CAB000" w14:textId="75F143B5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Planiranje 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odgovora n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 hitne slučajeve</w:t>
            </w:r>
            <w:r w:rsidR="00524FE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;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</w:p>
          <w:p w14:paraId="6607F993" w14:textId="355332FD" w:rsidR="00524FE5" w:rsidRPr="00703F29" w:rsidRDefault="006F7575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Osnovne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potrebe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(voda, sanita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cija</w:t>
            </w:r>
            <w:r w:rsidR="001B423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itd.);</w:t>
            </w:r>
          </w:p>
          <w:p w14:paraId="2CA3C62F" w14:textId="77777777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Izvještavanje o incidentima i istraga;</w:t>
            </w:r>
          </w:p>
          <w:p w14:paraId="6762951B" w14:textId="77777777" w:rsidR="00524FE5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Bezbjednosna oprema;</w:t>
            </w:r>
          </w:p>
          <w:p w14:paraId="691A31ED" w14:textId="53B1C4AA" w:rsidR="00524FE5" w:rsidRPr="00703F29" w:rsidRDefault="00524FE5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Kontrol</w:t>
            </w:r>
            <w:r w:rsidR="00FE5226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saobraćaja;</w:t>
            </w:r>
          </w:p>
          <w:p w14:paraId="4E779381" w14:textId="5602D4C9" w:rsidR="00846998" w:rsidRPr="00703F29" w:rsidRDefault="001B423C" w:rsidP="006F7575">
            <w:pPr>
              <w:pStyle w:val="ListBullet"/>
              <w:jc w:val="both"/>
              <w:rPr>
                <w:rFonts w:ascii="Corbel" w:hAnsi="Corbel"/>
                <w:color w:val="auto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Zdravlje i bezbjednost zajednice.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C629E78" w14:textId="0103D15A" w:rsidR="00846998" w:rsidRPr="00703F29" w:rsidRDefault="00FE5226" w:rsidP="00B31CF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Smanjiti rizik</w:t>
            </w:r>
            <w:r w:rsidR="000403E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ozbiljnost potencijalnih OHS incidenata na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</w:t>
            </w:r>
            <w:r w:rsidR="000403E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rojektu.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E663CEE" w14:textId="52A36098" w:rsidR="00116654" w:rsidRPr="00703F29" w:rsidRDefault="000403E4" w:rsidP="00116654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EBRD UR4, UR</w:t>
            </w:r>
            <w:r w:rsidR="00846998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2 GI</w:t>
            </w:r>
            <w:r w:rsidR="00F45BB7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846998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DFE435E" w14:textId="3485226B" w:rsidR="00D64BBD" w:rsidRPr="00703F29" w:rsidRDefault="003E3407" w:rsidP="00D64BBD">
            <w:pPr>
              <w:pStyle w:val="NormalWeb"/>
              <w:spacing w:before="60" w:after="60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Sopstveni resursi</w:t>
            </w:r>
            <w:r w:rsidR="00E17F92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, stručni konsultanti.</w:t>
            </w:r>
          </w:p>
          <w:p w14:paraId="188B3E37" w14:textId="0D2815E1" w:rsidR="00846998" w:rsidRDefault="00B31CFF" w:rsidP="00B31CFF">
            <w:pPr>
              <w:pStyle w:val="NormalWeb"/>
              <w:spacing w:before="60" w:after="60"/>
              <w:jc w:val="both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D</w:t>
            </w:r>
            <w:r w:rsidR="00D64BB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odatne informacije o</w:t>
            </w:r>
            <w:r w:rsidR="003E3407" w:rsidRPr="00703F29">
              <w:rPr>
                <w:lang w:val="sr-Latn-ME"/>
              </w:rPr>
              <w:t xml:space="preserve"> </w:t>
            </w:r>
            <w:r w:rsidR="00157A08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zdravlju</w:t>
            </w:r>
            <w:r w:rsidR="00594647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 i sigurnost</w:t>
            </w:r>
            <w:r w:rsidR="00157A08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 </w:t>
            </w:r>
            <w:r w:rsidR="00D64BB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 povezanim procjenama rizika </w:t>
            </w:r>
            <w:r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od </w:t>
            </w:r>
            <w:r w:rsidR="00D64BB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Covid-19 </w:t>
            </w:r>
            <w:r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 prateći odgovori dostupni su na (</w:t>
            </w:r>
            <w:hyperlink r:id="rId13" w:history="1">
              <w:r w:rsidRPr="00697C84">
                <w:rPr>
                  <w:rStyle w:val="Hyperlink"/>
                  <w:rFonts w:ascii="Corbel" w:hAnsi="Corbel" w:cs="Arial"/>
                  <w:sz w:val="19"/>
                  <w:szCs w:val="19"/>
                  <w:lang w:val="sr-Latn-ME"/>
                </w:rPr>
                <w:t>https://ebrd.com/covid19-workplace.pdf</w:t>
              </w:r>
            </w:hyperlink>
            <w:r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)</w:t>
            </w:r>
          </w:p>
          <w:p w14:paraId="433C6069" w14:textId="7FE53E12" w:rsidR="00B31CFF" w:rsidRPr="00703F29" w:rsidRDefault="00B31CFF" w:rsidP="00B31CFF">
            <w:pPr>
              <w:pStyle w:val="NormalWeb"/>
              <w:spacing w:before="60" w:after="60"/>
              <w:jc w:val="both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</w:p>
        </w:tc>
        <w:tc>
          <w:tcPr>
            <w:tcW w:w="151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4B6FD6" w14:textId="62DF3B47" w:rsidR="00846998" w:rsidRPr="00703F29" w:rsidRDefault="00157A08" w:rsidP="00B31CFF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sz w:val="20"/>
                <w:szCs w:val="20"/>
                <w:lang w:val="sr-Latn-ME"/>
              </w:rPr>
              <w:t>Najmanje 2 mjeseca prije početka izgradnje.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2784BEA" w14:textId="77777777" w:rsidR="00F02085" w:rsidRPr="00703F29" w:rsidRDefault="00F02085" w:rsidP="00F02085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Plan uključuje:</w:t>
            </w:r>
          </w:p>
          <w:p w14:paraId="2F0E60D3" w14:textId="587DFB3B" w:rsidR="00846998" w:rsidRPr="00703F29" w:rsidRDefault="00823B2D" w:rsidP="00B31CFF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k</w:t>
            </w:r>
            <w:r w:rsidR="00F02085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ompletnu analizu opasnosti; odgovarajuće OHS preporuke; proceduru efektivne obuke; adekvatn</w:t>
            </w:r>
            <w:r w:rsidR="00FE5226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u </w:t>
            </w:r>
            <w:r w:rsidR="00F02085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kontrol</w:t>
            </w:r>
            <w:r w:rsidR="00FE5226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="00F02085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 i izvještaje, kao i adekvatnu istragu incidenata.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A550B3" w14:textId="77777777" w:rsidR="00846998" w:rsidRPr="00703F29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846998" w:rsidRPr="00703F29" w14:paraId="3D8C294E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3CABBB" w14:textId="12E50375" w:rsidR="00846998" w:rsidRPr="00703F29" w:rsidRDefault="00846998" w:rsidP="0084699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4.</w:t>
            </w:r>
            <w:r w:rsidR="005279E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7926334" w14:textId="77777777" w:rsidR="00A70492" w:rsidRPr="00703F29" w:rsidRDefault="00A70492" w:rsidP="00A70492">
            <w:pPr>
              <w:spacing w:before="60" w:after="60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Nadzor nad zaštitom na radu (OHS)</w:t>
            </w:r>
          </w:p>
          <w:p w14:paraId="75F4A432" w14:textId="498A2ADF" w:rsidR="00A70492" w:rsidRPr="00703F29" w:rsidRDefault="00A70492" w:rsidP="003E340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UZS nadzor nad zaštitom na radu je </w:t>
            </w:r>
            <w:r w:rsidR="00254D1E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ojačan 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angažovanjem stručnjaka</w:t>
            </w:r>
            <w:r w:rsidR="00254D1E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adekvatnim </w:t>
            </w:r>
            <w:r w:rsidR="00254D1E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resursima, sa najmanje jednim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282B7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stručnjakom za poslove zaštite 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 </w:t>
            </w:r>
            <w:r w:rsidR="00282B7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zdravlja na radu (OHS).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</w:p>
          <w:p w14:paraId="4594F329" w14:textId="45B0BA76" w:rsidR="00A70492" w:rsidRPr="00703F29" w:rsidRDefault="00A70492" w:rsidP="003E3407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lastRenderedPageBreak/>
              <w:t xml:space="preserve">UZS </w:t>
            </w:r>
            <w:r w:rsidR="008509BB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 osigura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da Izvođač anga</w:t>
            </w:r>
            <w:r w:rsidR="00282B7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žuje najmanje jednog stručnjaka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zaštite na radu tokom izgradnje.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4137A5" w14:textId="71B6B474" w:rsidR="00846998" w:rsidRPr="00BC2C51" w:rsidRDefault="00282B7A" w:rsidP="00100BF6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sz w:val="20"/>
                <w:szCs w:val="20"/>
                <w:lang w:val="sr-Latn-ME"/>
              </w:rPr>
            </w:pPr>
            <w:r w:rsidRPr="00BC2C5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lastRenderedPageBreak/>
              <w:t xml:space="preserve">UZS </w:t>
            </w:r>
            <w:r w:rsidR="00100BF6" w:rsidRPr="00BC2C5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snosi krajnju odgovornost za </w:t>
            </w:r>
            <w:r w:rsidRPr="00BC2C5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ishode u vezi sa zaštitom na radu.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700A749" w14:textId="63E70D45" w:rsidR="00846998" w:rsidRPr="00BC2C51" w:rsidRDefault="00581029" w:rsidP="0084699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BC2C51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EBRD UR</w:t>
            </w:r>
            <w:r w:rsidR="00846998" w:rsidRPr="00BC2C51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 1,2,4 GI</w:t>
            </w:r>
            <w:r w:rsidR="00F45BB7" w:rsidRPr="00BC2C51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846998" w:rsidRPr="00BC2C51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0E57BB8" w14:textId="502A4078" w:rsidR="00581029" w:rsidRPr="00703F29" w:rsidRDefault="003E3407" w:rsidP="00100BF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Sopstveni resursi</w:t>
            </w:r>
            <w:r w:rsidR="00581029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, 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stručnjaci za poslove zaštite i zdravlja na radu</w:t>
            </w:r>
          </w:p>
          <w:p w14:paraId="5F1E5630" w14:textId="020D59D9" w:rsidR="00996ACB" w:rsidRPr="00703F29" w:rsidRDefault="00100BF6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100BF6">
              <w:rPr>
                <w:rFonts w:ascii="Corbel" w:hAnsi="Corbel" w:cs="Arial"/>
                <w:sz w:val="20"/>
                <w:szCs w:val="20"/>
                <w:lang w:val="sr-Latn-ME"/>
              </w:rPr>
              <w:lastRenderedPageBreak/>
              <w:t>(Inicijalna podrška u izgradnji kapaciteta za E&amp;S predviđena je kroz pružanje tehničke pomoći UZS u 2020. godini)</w:t>
            </w:r>
          </w:p>
        </w:tc>
        <w:tc>
          <w:tcPr>
            <w:tcW w:w="151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9DD51E5" w14:textId="1EA7B1C7" w:rsidR="00846998" w:rsidRPr="00703F29" w:rsidRDefault="003E3407" w:rsidP="00100BF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lastRenderedPageBreak/>
              <w:t>Revizija t</w:t>
            </w:r>
            <w:r w:rsidR="00C15D40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okom 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perioda izgradnje </w:t>
            </w:r>
            <w:r w:rsidR="00C15D40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 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pregledani </w:t>
            </w:r>
            <w:r w:rsidR="00C15D40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izvještaji u skladu sa </w:t>
            </w:r>
            <w:r w:rsidR="00100BF6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dinamikom</w:t>
            </w:r>
            <w:r w:rsidR="00C15D40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431EA78" w14:textId="77777777" w:rsidR="00C15D40" w:rsidRPr="00703F29" w:rsidRDefault="00C15D40" w:rsidP="00D00626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Neusklađenost identifikovana u revizijama i izvještajima, adresirana na vrijeme.</w:t>
            </w:r>
          </w:p>
          <w:p w14:paraId="2A9B8B98" w14:textId="7229553C" w:rsidR="00846998" w:rsidRPr="00703F29" w:rsidRDefault="00C15D40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Projekat </w:t>
            </w:r>
            <w:r w:rsidR="003E3407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se u potpunosti sprovodi u skladu sa 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UR2 i UR4.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47120C" w14:textId="77777777" w:rsidR="00846998" w:rsidRPr="00703F29" w:rsidRDefault="00846998" w:rsidP="0084699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604D66" w:rsidRPr="00703F29" w14:paraId="4331E43E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95F0C53" w14:textId="125062E7" w:rsidR="00604D66" w:rsidRPr="00703F29" w:rsidRDefault="00604D66" w:rsidP="00604D66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4.3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D0902BD" w14:textId="77777777" w:rsidR="00604D66" w:rsidRPr="00703F29" w:rsidRDefault="00604D66" w:rsidP="00604D66">
            <w:pPr>
              <w:spacing w:before="60" w:after="60" w:line="259" w:lineRule="auto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 w:eastAsia="en-US"/>
              </w:rPr>
              <w:t>Plan upravljanja saobraćajem</w:t>
            </w:r>
          </w:p>
          <w:p w14:paraId="0E689A4E" w14:textId="5F5D0E40" w:rsidR="00604D66" w:rsidRPr="00703F29" w:rsidRDefault="00604D66" w:rsidP="00D00626">
            <w:pPr>
              <w:spacing w:before="60" w:after="6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  <w:t>Izvođač radova će izraditi Plan upravljanja saobraćajem u skladu s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  <w:t>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  <w:t xml:space="preserve"> GIP i uključiti minimalne obaveze u vezi sa bezbjednošću na putevima 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  <w:t>u skladu sa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  <w:t xml:space="preserve"> ESIA.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DF4671E" w14:textId="0FF88CF0" w:rsidR="00604D66" w:rsidRPr="00703F29" w:rsidRDefault="00604D66" w:rsidP="00D00626">
            <w:pPr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Ograničava </w:t>
            </w:r>
            <w:r w:rsidR="003E3407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saobraćajne smetnje na putu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definiše zahtjeve za bezbjednost na putu, uključuje odgovarajuće bezb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j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ednosne odredbe za ugrožene korisnike.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424E05D" w14:textId="31F504E1" w:rsidR="00604D66" w:rsidRPr="00703F29" w:rsidRDefault="00604D66" w:rsidP="00604D66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EBRD UR4, GI</w:t>
            </w:r>
            <w:r w:rsidR="00F45BB7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C009EF" w14:textId="13EB8BC2" w:rsidR="00604D66" w:rsidRPr="00703F29" w:rsidRDefault="00604D66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Sopstveni resursi, stručnjaci u oblasti transporta i bezbjednosti na putevima.</w:t>
            </w:r>
          </w:p>
        </w:tc>
        <w:tc>
          <w:tcPr>
            <w:tcW w:w="151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349C781" w14:textId="7949721E" w:rsidR="00604D66" w:rsidRPr="00703F29" w:rsidRDefault="00604D66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Najmanje 2 mjeseca prije početka </w:t>
            </w:r>
            <w:r w:rsidR="00823B2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iz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07763C0" w14:textId="4A82ACC2" w:rsidR="00604D66" w:rsidRPr="00703F29" w:rsidRDefault="00604D66" w:rsidP="00D00626">
            <w:pPr>
              <w:spacing w:before="60" w:after="60"/>
              <w:ind w:left="1"/>
              <w:jc w:val="both"/>
              <w:rPr>
                <w:rFonts w:ascii="Corbel" w:hAnsi="Corbel" w:cs="Arial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Nesreće su unutar normativnih nivoa. Nema smrtnih slučajeva ili ozbiljnih povreda. Nema većih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smetnji u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saobraćaju. Nema značajnih problema sa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priključivanjem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dekvatne odredbe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 sigurnosti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za ugrožene korisnike (npr. učenici u školi itd.)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F3A85F5" w14:textId="77777777" w:rsidR="00604D66" w:rsidRPr="00703F29" w:rsidRDefault="00604D66" w:rsidP="00604D66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BB5838" w:rsidRPr="00703F29" w14:paraId="531239D9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90D331E" w14:textId="5E9C5208" w:rsidR="00BB5838" w:rsidRPr="00703F29" w:rsidRDefault="00BB5838" w:rsidP="00BB5838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4.4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87175DC" w14:textId="045249E1" w:rsidR="00BB5838" w:rsidRPr="00703F29" w:rsidRDefault="00BB5838" w:rsidP="00D00626">
            <w:pPr>
              <w:spacing w:before="60" w:after="60"/>
              <w:jc w:val="both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Plan reagovanja u</w:t>
            </w:r>
            <w:r w:rsidR="0041201F"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 slučaju vanrednih situacija </w:t>
            </w: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(EPRP)</w:t>
            </w:r>
          </w:p>
          <w:p w14:paraId="0A6F09DA" w14:textId="2C20758A" w:rsidR="00BB5838" w:rsidRPr="00703F29" w:rsidRDefault="00BB5838" w:rsidP="00D00626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Izvođač radova će da izradi i implementira EPRP u skladu sa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UR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EBRD.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Potrebno je da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se obezbijedi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obuka i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oprema za i reagovanje u hitnim slučajevima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kao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 da se ista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41201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primjenjuje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na licu mjesta.</w:t>
            </w:r>
          </w:p>
        </w:tc>
        <w:tc>
          <w:tcPr>
            <w:tcW w:w="1750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0D99EB9" w14:textId="744A0B4B" w:rsidR="00BB5838" w:rsidRPr="00703F29" w:rsidRDefault="00BB5838" w:rsidP="00D00626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bezbjeđuje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resurse i koordinaciju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 cilju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spr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j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ečavanja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predviđenih nesreća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ili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odgovora u slučaju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823B2D" w:rsidRPr="00703F29">
              <w:rPr>
                <w:lang w:val="sr-Latn-ME"/>
              </w:rPr>
              <w:t xml:space="preserve">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vanrednih situacija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7AB17B2" w14:textId="1FC90C66" w:rsidR="00BB5838" w:rsidRPr="00703F29" w:rsidRDefault="00BB5838" w:rsidP="00BB5838">
            <w:pPr>
              <w:pStyle w:val="NormalWeb"/>
              <w:spacing w:before="60" w:beforeAutospacing="0" w:after="60" w:afterAutospacing="0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EBRD UR4, G</w:t>
            </w:r>
            <w:r w:rsidR="00F45BB7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9B8BE24" w14:textId="391BD82B" w:rsidR="00BB5838" w:rsidRPr="00703F29" w:rsidRDefault="00BB5838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Sopstveni resursi, </w:t>
            </w:r>
            <w:r w:rsidR="00823B2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stručnjaci za poslove zaštite i zdravlja na radu</w:t>
            </w:r>
          </w:p>
        </w:tc>
        <w:tc>
          <w:tcPr>
            <w:tcW w:w="1512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F632093" w14:textId="095FBE80" w:rsidR="00BB5838" w:rsidRPr="00703F29" w:rsidRDefault="00BB5838" w:rsidP="00D00626">
            <w:pPr>
              <w:pStyle w:val="NormalWeb"/>
              <w:spacing w:before="60" w:beforeAutospacing="0" w:after="60" w:afterAutospacing="0"/>
              <w:jc w:val="both"/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Najmanje 2 mjeseca prije početka </w:t>
            </w:r>
            <w:r w:rsidR="00823B2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iz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8E59BC3" w14:textId="3C4A4570" w:rsidR="00BB5838" w:rsidRPr="00703F29" w:rsidRDefault="00BB5838" w:rsidP="00D00626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Plan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 potpunosti 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pripremljen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 skladu sa 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R2 i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R4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, 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uključujući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opasne materijale, prirodne opasnosti, 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epidemije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, procjenu 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kvaliteta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zdravstvenih usluga, nesreće na radu i </w:t>
            </w:r>
            <w:r w:rsidR="00823B2D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saobraćajne nesreće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  <w:r w:rsidR="00D00626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 xml:space="preserve">Izvještaji o incidentima pokazuju </w:t>
            </w:r>
            <w:r w:rsidR="00823B2D" w:rsidRPr="00703F29">
              <w:rPr>
                <w:rFonts w:ascii="Corbel" w:hAnsi="Corbel" w:cs="Arial"/>
                <w:color w:val="000000"/>
                <w:sz w:val="19"/>
                <w:szCs w:val="19"/>
                <w:lang w:val="sr-Latn-ME"/>
              </w:rPr>
              <w:t>efikasnost reagovanja.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B958B6B" w14:textId="77777777" w:rsidR="00BB5838" w:rsidRPr="00703F29" w:rsidRDefault="00BB5838" w:rsidP="00BB5838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2B4351" w:rsidRPr="00703F29" w14:paraId="45096A0B" w14:textId="77777777" w:rsidTr="001610B3">
        <w:trPr>
          <w:trHeight w:val="468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21F25307" w14:textId="7DDD2C36" w:rsidR="002B4351" w:rsidRPr="00703F29" w:rsidRDefault="00BB5838" w:rsidP="002B4351">
            <w:pPr>
              <w:spacing w:before="60" w:after="60"/>
              <w:ind w:right="112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UR</w:t>
            </w:r>
            <w:r w:rsidR="002B4351"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 xml:space="preserve">5 </w:t>
            </w:r>
          </w:p>
        </w:tc>
        <w:tc>
          <w:tcPr>
            <w:tcW w:w="13328" w:type="dxa"/>
            <w:gridSpan w:val="9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/>
            <w:vAlign w:val="center"/>
          </w:tcPr>
          <w:p w14:paraId="6867FAB9" w14:textId="5B26FCBF" w:rsidR="002B4351" w:rsidRPr="00703F29" w:rsidRDefault="002E68D2" w:rsidP="002B4351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Otkup zemljišta, prinudno preseljenje i ekonomsko raseljavanje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780A7A79" w14:textId="77777777" w:rsidR="002B4351" w:rsidRPr="00703F29" w:rsidRDefault="002B4351" w:rsidP="002B4351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3A7A44" w:rsidRPr="00703F29" w14:paraId="554E9084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360C07" w14:textId="6E27175E" w:rsidR="003A7A44" w:rsidRPr="00703F29" w:rsidRDefault="003A7A44" w:rsidP="003A7A44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5.1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6CE4C4" w14:textId="77777777" w:rsidR="003A7A44" w:rsidRPr="00703F29" w:rsidRDefault="003A7A44" w:rsidP="003A7A44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Plan otkupa zemljišta i preseljenja (LARP)</w:t>
            </w:r>
          </w:p>
          <w:p w14:paraId="4FEEBBFF" w14:textId="60E024D0" w:rsidR="003A7A44" w:rsidRPr="00703F29" w:rsidRDefault="00D00626" w:rsidP="00D00626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UZS </w:t>
            </w:r>
            <w:r w:rsidR="00BC2C5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(uz nadzor međunarodnog konsultanta) </w:t>
            </w:r>
            <w:r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 pripremi i implementira </w:t>
            </w:r>
            <w:r w:rsidR="003A7A44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LARP </w:t>
            </w:r>
            <w:r w:rsidR="00F242AA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(u skladu sa </w:t>
            </w:r>
            <w:r w:rsidR="003A7A44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UR5</w:t>
            </w:r>
            <w:r w:rsidR="00F242AA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) </w:t>
            </w:r>
            <w:r w:rsidR="003A7A44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koji je u skladu </w:t>
            </w:r>
            <w:r w:rsidR="00F242AA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sa </w:t>
            </w:r>
            <w:r w:rsidR="003A7A44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Okvir</w:t>
            </w:r>
            <w:r w:rsidR="00823B2D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nim LA</w:t>
            </w:r>
            <w:r w:rsidR="00F45BB7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RF</w:t>
            </w:r>
            <w:r w:rsidR="00823B2D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3A7A44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koji adresira bilo kakve </w:t>
            </w:r>
            <w:r w:rsidR="00552758" w:rsidRP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dodatne obaveze vezane za otkup zemljišta.</w:t>
            </w:r>
            <w:r w:rsidR="00552758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</w:p>
          <w:p w14:paraId="55782ED3" w14:textId="0985A43B" w:rsidR="00F242AA" w:rsidRPr="00703F29" w:rsidRDefault="00F242AA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EA93D06" w14:textId="2D60EB22" w:rsidR="003A7A44" w:rsidRPr="00703F29" w:rsidRDefault="003A7A44" w:rsidP="005041E3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Smanjiti rizik značajn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ih uticaja/štete na što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ma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nji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broj zainteresovanih 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strana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koje 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će se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fizički i ekonomski preseliti ili koj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su pogođen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drugim značajnim uticajima.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D97105B" w14:textId="03B40AE7" w:rsidR="003A7A44" w:rsidRPr="00703F29" w:rsidRDefault="003A7A4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EBRD UR5 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D3D8384" w14:textId="77777777" w:rsidR="003A7A44" w:rsidRPr="00703F29" w:rsidRDefault="003A7A44" w:rsidP="005041E3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Nacionalni kosultanti.</w:t>
            </w:r>
          </w:p>
          <w:p w14:paraId="6BEB4561" w14:textId="77777777" w:rsidR="003A7A44" w:rsidRPr="00703F29" w:rsidRDefault="003A7A4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  <w:p w14:paraId="675B5297" w14:textId="7DFE033E" w:rsidR="003A7A44" w:rsidRPr="00703F29" w:rsidRDefault="003A7A44" w:rsidP="005041E3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Nadzor </w:t>
            </w:r>
            <w:r w:rsidR="00217384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od strane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međunarodnih konsultanata. 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57C5B66" w14:textId="6AE65424" w:rsidR="003A7A44" w:rsidRPr="00703F29" w:rsidRDefault="003A7A44" w:rsidP="005041E3">
            <w:pPr>
              <w:spacing w:before="60" w:after="60"/>
              <w:ind w:right="57"/>
              <w:jc w:val="both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Prije </w:t>
            </w:r>
            <w:r w:rsidR="005041E3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otkupa zemljišta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najmanje 3 mjeseca prije početka 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C9C116F" w14:textId="7679E01B" w:rsidR="00F242AA" w:rsidRDefault="005041E3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Pripremljen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LARP dostavljen EBR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D</w:t>
            </w:r>
            <w:r w:rsidR="00F242A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  <w:p w14:paraId="72D68F09" w14:textId="2C3A4834" w:rsidR="00217384" w:rsidRDefault="0021738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  <w:p w14:paraId="52F0B726" w14:textId="08AAC98D" w:rsidR="00217384" w:rsidRDefault="00217384" w:rsidP="00217384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Izvještaji o monitoringu da pokažu nivo iznosa kompenzacije, mjere obnove življenja, upravljanje žalbenim mehanizmom sa subjektima pod uticajem projekta i završetak procesa pregovaranja u planiranom roku.</w:t>
            </w:r>
          </w:p>
          <w:p w14:paraId="1B02E5B1" w14:textId="5561B266" w:rsidR="00217384" w:rsidRPr="00703F29" w:rsidRDefault="00217384" w:rsidP="00217384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highlight w:val="red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lastRenderedPageBreak/>
              <w:t>Ograničen broj žalbi na čekanju ili neriješenih žalbi.</w:t>
            </w:r>
          </w:p>
          <w:p w14:paraId="7ECB2B26" w14:textId="54FB68C8" w:rsidR="003A7A44" w:rsidRPr="00703F29" w:rsidRDefault="003A7A4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3433B80" w14:textId="08B924A0" w:rsidR="003A7A44" w:rsidRPr="00703F29" w:rsidRDefault="003A7A4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3A7A44" w:rsidRPr="00703F29" w14:paraId="48E269B5" w14:textId="77777777" w:rsidTr="001610B3">
        <w:trPr>
          <w:trHeight w:val="468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420AEAD3" w14:textId="2BC483C4" w:rsidR="003A7A44" w:rsidRPr="00703F29" w:rsidRDefault="001610B3" w:rsidP="003A7A44">
            <w:pPr>
              <w:spacing w:before="60" w:after="60"/>
              <w:ind w:left="84"/>
              <w:rPr>
                <w:rFonts w:ascii="Corbel" w:eastAsia="Times New Roman" w:hAnsi="Corbel" w:cs="Arial"/>
                <w:b/>
                <w:bCs/>
                <w:i/>
                <w:iCs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UR</w:t>
            </w:r>
            <w:r w:rsidR="003A7A44"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 xml:space="preserve">6 </w:t>
            </w:r>
          </w:p>
        </w:tc>
        <w:tc>
          <w:tcPr>
            <w:tcW w:w="13328" w:type="dxa"/>
            <w:gridSpan w:val="9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nil"/>
            </w:tcBorders>
            <w:shd w:val="clear" w:color="auto" w:fill="DEEAF6"/>
            <w:vAlign w:val="center"/>
          </w:tcPr>
          <w:p w14:paraId="37DF7672" w14:textId="72E73D24" w:rsidR="003A7A44" w:rsidRPr="00703F29" w:rsidRDefault="001610B3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Biodiverzitet i prirodni resursi</w:t>
            </w:r>
          </w:p>
        </w:tc>
        <w:tc>
          <w:tcPr>
            <w:tcW w:w="1136" w:type="dxa"/>
            <w:tcBorders>
              <w:top w:val="single" w:sz="8" w:space="0" w:color="00539B"/>
              <w:left w:val="nil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12CFCC6F" w14:textId="77777777" w:rsidR="003A7A44" w:rsidRPr="00703F29" w:rsidRDefault="003A7A44" w:rsidP="003A7A44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1610B3" w:rsidRPr="00703F29" w14:paraId="0A720BF5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D1C093" w14:textId="0E217F1B" w:rsidR="001610B3" w:rsidRPr="00703F29" w:rsidRDefault="001610B3" w:rsidP="001610B3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6.1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8D5A2BE" w14:textId="5677A7A3" w:rsidR="001610B3" w:rsidRPr="00703F29" w:rsidRDefault="00BC2C51" w:rsidP="007B686C">
            <w:pPr>
              <w:spacing w:before="60" w:after="60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UZS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će </w:t>
            </w:r>
            <w:r w:rsidR="00C454DA">
              <w:rPr>
                <w:rFonts w:ascii="Corbel" w:hAnsi="Corbel"/>
                <w:bCs/>
                <w:sz w:val="19"/>
                <w:szCs w:val="19"/>
                <w:lang w:val="sr-Latn-ME"/>
              </w:rPr>
              <w:t>obezbjediti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dodatne studije i povezane aktivnosti kako je navedeno u Okvirnom akcionom planu za biološku raznolikost (F-BAP) i ažurirati F-BAP </w:t>
            </w:r>
            <w:r w:rsidR="00C454DA">
              <w:rPr>
                <w:rFonts w:ascii="Corbel" w:hAnsi="Corbel"/>
                <w:bCs/>
                <w:sz w:val="19"/>
                <w:szCs w:val="19"/>
                <w:lang w:val="sr-Latn-ME"/>
              </w:rPr>
              <w:t>u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Akcioni plan </w:t>
            </w:r>
            <w:r w:rsidR="00C454DA">
              <w:rPr>
                <w:rFonts w:ascii="Corbel" w:hAnsi="Corbel"/>
                <w:bCs/>
                <w:sz w:val="19"/>
                <w:szCs w:val="19"/>
                <w:lang w:val="sr-Latn-ME"/>
              </w:rPr>
              <w:t>biodiverziteta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na osnovu rezultata ovog rada. Po potrebi, ažuriranja BAP će biti un</w:t>
            </w:r>
            <w:r w:rsidR="00C454DA">
              <w:rPr>
                <w:rFonts w:ascii="Corbel" w:hAnsi="Corbel"/>
                <w:bCs/>
                <w:sz w:val="19"/>
                <w:szCs w:val="19"/>
                <w:lang w:val="sr-Latn-ME"/>
              </w:rPr>
              <w:t>ij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eta u građevinske (i izvođače) planove upravljanja i nadgledanja biodiverziteta (BMMP) nakon što bude dostupan detaljan dizajn i </w:t>
            </w:r>
            <w:r w:rsidR="00C454DA">
              <w:rPr>
                <w:rFonts w:ascii="Corbel" w:hAnsi="Corbel"/>
                <w:bCs/>
                <w:sz w:val="19"/>
                <w:szCs w:val="19"/>
                <w:lang w:val="sr-Latn-ME"/>
              </w:rPr>
              <w:t>potrebna istraživanja budu finalizovana</w:t>
            </w:r>
            <w:r w:rsidRPr="00BC2C51">
              <w:rPr>
                <w:rFonts w:ascii="Corbel" w:hAnsi="Corbel"/>
                <w:bCs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6D1169C" w14:textId="7B18CB6D" w:rsidR="001610B3" w:rsidRPr="00703F29" w:rsidRDefault="001610B3" w:rsidP="007B686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Upravljanje rizicima</w:t>
            </w:r>
            <w:r w:rsidR="006D1D32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</w:t>
            </w:r>
            <w:r w:rsidR="007B686C">
              <w:rPr>
                <w:rFonts w:ascii="Corbel" w:hAnsi="Corbel"/>
                <w:sz w:val="19"/>
                <w:szCs w:val="19"/>
                <w:lang w:val="sr-Latn-ME"/>
              </w:rPr>
              <w:t>po</w:t>
            </w:r>
            <w:r w:rsidR="006D1D32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biodiverzitet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tokom izgradnje</w:t>
            </w:r>
            <w:r w:rsidR="006D1D32" w:rsidRPr="00703F29">
              <w:rPr>
                <w:rFonts w:ascii="Corbel" w:hAnsi="Corbel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E5D325E" w14:textId="05A3BC47" w:rsidR="001610B3" w:rsidRPr="00703F29" w:rsidRDefault="00B852E3" w:rsidP="001610B3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EBRD UR</w:t>
            </w:r>
            <w:r w:rsidR="001610B3" w:rsidRPr="00703F29">
              <w:rPr>
                <w:rFonts w:ascii="Corbel" w:hAnsi="Corbel"/>
                <w:sz w:val="19"/>
                <w:szCs w:val="19"/>
                <w:lang w:val="sr-Latn-ME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86215DF" w14:textId="137CA9FB" w:rsidR="001610B3" w:rsidRPr="00703F29" w:rsidRDefault="00C454DA" w:rsidP="001610B3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>
              <w:rPr>
                <w:rFonts w:ascii="Corbel" w:hAnsi="Corbel"/>
                <w:sz w:val="19"/>
                <w:szCs w:val="19"/>
                <w:lang w:val="sr-Latn-ME"/>
              </w:rPr>
              <w:t>Sopstveni resursi UZS i savjetnici specijalisti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5EDB7B3" w14:textId="442C36F4" w:rsidR="001610B3" w:rsidRPr="007B686C" w:rsidRDefault="00C454DA" w:rsidP="007B686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>Početno ažuriranje najmanje dva m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>j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>eseca pre početka izgradnje. Daljnja ažuriranja prema potrebi na osnovu rezultata godišnjeg istraživanja.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2BB96F9" w14:textId="2E00E59A" w:rsidR="00C454DA" w:rsidRPr="00C454DA" w:rsidRDefault="00C454DA" w:rsidP="00C454DA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>Ažurirani BAP da b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 xml:space="preserve">ude potvrđen od strane TA i podijeljen sa EBRD. 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 </w:t>
            </w:r>
          </w:p>
          <w:p w14:paraId="5C3E01EB" w14:textId="339FBF2C" w:rsidR="00C454DA" w:rsidRPr="007B686C" w:rsidRDefault="00C454DA" w:rsidP="00C454DA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>Ažuriran BMMP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 xml:space="preserve"> 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da bude potvrđen od strane TA i podijeljen sa EBRD. 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>Svi zaposleni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 izvođača radova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 xml:space="preserve"> da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 razum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>iju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 i poštuj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>u</w:t>
            </w:r>
            <w:r w:rsidRPr="00C454DA">
              <w:rPr>
                <w:rFonts w:ascii="Corbel" w:hAnsi="Corbel"/>
                <w:sz w:val="19"/>
                <w:szCs w:val="19"/>
                <w:lang w:val="sr-Latn-ME"/>
              </w:rPr>
              <w:t xml:space="preserve"> zahteve ESMP i </w:t>
            </w:r>
            <w:r>
              <w:rPr>
                <w:rFonts w:ascii="Corbel" w:hAnsi="Corbel"/>
                <w:sz w:val="19"/>
                <w:szCs w:val="19"/>
                <w:lang w:val="sr-Latn-ME"/>
              </w:rPr>
              <w:t>zahtjeve Plana posvećenosti projektu.</w:t>
            </w:r>
          </w:p>
          <w:p w14:paraId="0BACFD89" w14:textId="50ACB645" w:rsidR="006D1D32" w:rsidRPr="007B686C" w:rsidRDefault="006D1D32" w:rsidP="006D1D32">
            <w:pPr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6872A65" w14:textId="77777777" w:rsidR="001610B3" w:rsidRPr="00703F29" w:rsidRDefault="001610B3" w:rsidP="001610B3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6E1EFD" w:rsidRPr="00703F29" w14:paraId="685CC451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0FE251D" w14:textId="0165D2E2" w:rsidR="006E1EFD" w:rsidRPr="00703F29" w:rsidRDefault="006E1EFD" w:rsidP="006E1EFD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6.2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43BF741" w14:textId="476910D4" w:rsidR="006E1EFD" w:rsidRPr="00703F29" w:rsidRDefault="006E1EFD" w:rsidP="00883BB7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UZS da imenuje službenika zaštite životne sredine</w:t>
            </w:r>
            <w:r w:rsidR="00883BB7">
              <w:rPr>
                <w:rFonts w:ascii="Corbel" w:hAnsi="Corbel"/>
                <w:sz w:val="19"/>
                <w:szCs w:val="19"/>
                <w:lang w:val="sr-Latn-ME"/>
              </w:rPr>
              <w:t xml:space="preserve"> (ECoW)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, za </w:t>
            </w:r>
            <w:r w:rsidR="003F28CD">
              <w:rPr>
                <w:rFonts w:ascii="Corbel" w:hAnsi="Corbel"/>
                <w:sz w:val="19"/>
                <w:szCs w:val="19"/>
                <w:lang w:val="sr-Latn-ME"/>
              </w:rPr>
              <w:t>monitoring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i upravljanje rizicima </w:t>
            </w:r>
            <w:r w:rsidR="006D1D32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u oblasti 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biodiverziteta tokom izgradnje.</w:t>
            </w:r>
          </w:p>
          <w:p w14:paraId="7B893E12" w14:textId="77777777" w:rsidR="006E1EFD" w:rsidRPr="00703F29" w:rsidRDefault="006E1EFD" w:rsidP="00883BB7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</w:p>
          <w:p w14:paraId="5B1F20FD" w14:textId="2A362F7A" w:rsidR="006E1EFD" w:rsidRPr="00703F29" w:rsidRDefault="006E1EFD" w:rsidP="00883BB7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UZS takođe da obezbijedi da izvođač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angažuje 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s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>tručnjaka za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zaštit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životne sredine 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>za sprovođenje monitoringa i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upravljanje rizicima 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iz oblasti 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biodiverziteta tokom izgradnje.</w:t>
            </w:r>
          </w:p>
          <w:p w14:paraId="54416BB1" w14:textId="77777777" w:rsidR="006E1EFD" w:rsidRPr="00703F29" w:rsidRDefault="006E1EFD" w:rsidP="00883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</w:pPr>
          </w:p>
          <w:p w14:paraId="20E293A4" w14:textId="306E752A" w:rsidR="006E1EFD" w:rsidRPr="00703F29" w:rsidRDefault="006E1EFD" w:rsidP="00883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Očekuje se da će UZS u kratkom roku </w:t>
            </w:r>
            <w:r w:rsidR="00BF6A01"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>nadoknaditii</w:t>
            </w: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 sve nedostatke u resursima uz podršku konsultanata </w:t>
            </w:r>
            <w:r w:rsidR="00BF6A01"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za </w:t>
            </w: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>životn</w:t>
            </w:r>
            <w:r w:rsidR="00BF6A01"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 sredin</w:t>
            </w:r>
            <w:r w:rsidR="00BF6A01"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 </w:t>
            </w:r>
            <w:r w:rsidR="00BF6A01"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eastAsia="Times New Roman" w:hAnsi="Corbel" w:cs="Courier New"/>
                <w:color w:val="222222"/>
                <w:sz w:val="19"/>
                <w:szCs w:val="19"/>
                <w:lang w:val="sr-Latn-ME"/>
              </w:rPr>
              <w:t xml:space="preserve"> društvenog okruženja.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46C6B5" w14:textId="6CBA2B7C" w:rsidR="006E1EFD" w:rsidRPr="00703F29" w:rsidRDefault="006E1EFD" w:rsidP="003F28CD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Omogućiti efikasn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o upravljanje 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i ublažavanje potencijalnih uticaja </w:t>
            </w:r>
            <w:r w:rsidR="00BF6A01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tokom 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izgradnje na biodiverzitet.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F750B6E" w14:textId="31ABCCDF" w:rsidR="006E1EFD" w:rsidRPr="00703F29" w:rsidRDefault="006E1EFD" w:rsidP="006E1EFD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EBRD UR</w:t>
            </w:r>
            <w:r w:rsidR="00C14F84" w:rsidRPr="00703F29">
              <w:rPr>
                <w:rFonts w:ascii="Corbel" w:hAnsi="Corbel"/>
                <w:sz w:val="19"/>
                <w:szCs w:val="19"/>
                <w:lang w:val="sr-Latn-ME"/>
              </w:rPr>
              <w:t>6</w:t>
            </w:r>
          </w:p>
          <w:p w14:paraId="4941D636" w14:textId="787F5EE3" w:rsidR="006E1EFD" w:rsidRPr="00703F29" w:rsidRDefault="006E1EFD" w:rsidP="006E1EFD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4293C8B" w14:textId="7BC820A0" w:rsidR="006D1D32" w:rsidRPr="00703F29" w:rsidRDefault="006E1EFD" w:rsidP="006E1EFD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UZS i/ili izvođač(i) </w:t>
            </w:r>
          </w:p>
          <w:p w14:paraId="7DC3A1E4" w14:textId="29FF14C1" w:rsidR="006E1EFD" w:rsidRPr="00703F29" w:rsidRDefault="003F28CD" w:rsidP="003F28CD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3F28CD">
              <w:rPr>
                <w:rFonts w:ascii="Corbel" w:hAnsi="Corbel"/>
                <w:sz w:val="19"/>
                <w:szCs w:val="19"/>
                <w:lang w:val="sr-Latn-ME"/>
              </w:rPr>
              <w:t>(Inicijalna podrška u izgradnji kapaciteta za E&amp;S predviđena je kroz pružanje tehničke pomoći UZS u 2020. godini)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526A495" w14:textId="63F1E9A6" w:rsidR="006E1EFD" w:rsidRPr="00703F29" w:rsidRDefault="006E1EFD" w:rsidP="003F28CD">
            <w:pPr>
              <w:spacing w:before="60" w:after="60"/>
              <w:ind w:right="5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Dva mjeseca prije početka izgradnje.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684D29A" w14:textId="7EAA6BA2" w:rsidR="006E1EFD" w:rsidRPr="00703F29" w:rsidRDefault="006D1D32" w:rsidP="003F28CD">
            <w:pPr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BA04AB">
              <w:rPr>
                <w:rFonts w:ascii="Corbel" w:hAnsi="Corbel"/>
                <w:sz w:val="19"/>
                <w:szCs w:val="19"/>
                <w:lang w:val="sr-Latn-ME"/>
              </w:rPr>
              <w:t>CV</w:t>
            </w:r>
            <w:r w:rsidR="006E1EFD"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 kompetentnog s</w:t>
            </w:r>
            <w:r w:rsidRPr="00BA04AB">
              <w:rPr>
                <w:rFonts w:ascii="Corbel" w:hAnsi="Corbel"/>
                <w:sz w:val="19"/>
                <w:szCs w:val="19"/>
                <w:lang w:val="sr-Latn-ME"/>
              </w:rPr>
              <w:t>tručnjaka</w:t>
            </w:r>
            <w:r w:rsidR="006E1EFD"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 za zaštitu životne sredine</w:t>
            </w:r>
            <w:r w:rsidR="003F28CD"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 EcoW </w:t>
            </w:r>
            <w:r w:rsidRPr="00BA04AB">
              <w:rPr>
                <w:rFonts w:ascii="Corbel" w:hAnsi="Corbel"/>
                <w:sz w:val="19"/>
                <w:szCs w:val="19"/>
                <w:lang w:val="sr-Latn-ME"/>
              </w:rPr>
              <w:t>koji je odobre</w:t>
            </w:r>
            <w:r w:rsidR="003F28CD" w:rsidRPr="00BA04AB">
              <w:rPr>
                <w:rFonts w:ascii="Corbel" w:hAnsi="Corbel"/>
                <w:sz w:val="19"/>
                <w:szCs w:val="19"/>
                <w:lang w:val="sr-Latn-ME"/>
              </w:rPr>
              <w:t>n</w:t>
            </w:r>
            <w:r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 od strane </w:t>
            </w:r>
            <w:r w:rsidR="006E1EFD"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EBRD. Ugovor </w:t>
            </w:r>
            <w:r w:rsidR="00BF6A01" w:rsidRPr="00BA04AB">
              <w:rPr>
                <w:rFonts w:ascii="Corbel" w:hAnsi="Corbel"/>
                <w:sz w:val="19"/>
                <w:szCs w:val="19"/>
                <w:lang w:val="sr-Latn-ME"/>
              </w:rPr>
              <w:t>i</w:t>
            </w:r>
            <w:r w:rsidR="006E1EFD" w:rsidRPr="00BA04AB">
              <w:rPr>
                <w:rFonts w:ascii="Corbel" w:hAnsi="Corbel"/>
                <w:sz w:val="19"/>
                <w:szCs w:val="19"/>
                <w:lang w:val="sr-Latn-ME"/>
              </w:rPr>
              <w:t xml:space="preserve"> </w:t>
            </w:r>
            <w:r w:rsidR="003F28CD" w:rsidRPr="00BA04AB">
              <w:rPr>
                <w:rFonts w:ascii="Corbel" w:hAnsi="Corbel"/>
                <w:sz w:val="19"/>
                <w:szCs w:val="19"/>
                <w:lang w:val="sr-Latn-ME"/>
              </w:rPr>
              <w:t>projektni zadatak za ECoW</w:t>
            </w:r>
            <w:r w:rsidR="006E1EFD" w:rsidRPr="00BA04AB">
              <w:rPr>
                <w:rFonts w:ascii="Corbel" w:hAnsi="Corbel"/>
                <w:sz w:val="19"/>
                <w:szCs w:val="19"/>
                <w:lang w:val="sr-Latn-ME"/>
              </w:rPr>
              <w:t>.</w:t>
            </w:r>
            <w:r w:rsidR="006E1EFD"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903C0D" w14:textId="77777777" w:rsidR="006E1EFD" w:rsidRPr="00703F29" w:rsidRDefault="006E1EFD" w:rsidP="006E1EFD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6E1EFD" w:rsidRPr="00703F29" w14:paraId="43050FA0" w14:textId="77777777" w:rsidTr="003F28CD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F058556" w14:textId="7BC6A0BE" w:rsidR="006E1EFD" w:rsidRPr="00703F29" w:rsidRDefault="006E1EFD" w:rsidP="006E1EFD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6.3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FFFFFF" w:themeFill="background1"/>
          </w:tcPr>
          <w:p w14:paraId="28C5F88D" w14:textId="05D29D05" w:rsidR="00441FD4" w:rsidRPr="003F28CD" w:rsidRDefault="00441FD4" w:rsidP="00441FD4">
            <w:pPr>
              <w:widowControl w:val="0"/>
              <w:spacing w:before="60" w:after="60"/>
              <w:ind w:left="35" w:right="4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UZS da</w:t>
            </w:r>
            <w:r w:rsidR="003F28CD" w:rsidRPr="003F28CD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obezbijedi </w:t>
            </w:r>
            <w:r w:rsidRPr="00441FD4">
              <w:rPr>
                <w:rFonts w:ascii="Corbel" w:hAnsi="Corbel"/>
                <w:bCs/>
                <w:sz w:val="19"/>
                <w:szCs w:val="19"/>
                <w:lang w:val="sr-Latn-ME"/>
              </w:rPr>
              <w:t>istraživanje slatkovodnih b</w:t>
            </w: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eskičmenjaka</w:t>
            </w:r>
            <w:r w:rsidRPr="00441FD4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i d</w:t>
            </w: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efiniše</w:t>
            </w:r>
            <w:r w:rsidRPr="00441FD4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dodatne m</w:t>
            </w: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j</w:t>
            </w:r>
            <w:r w:rsidRPr="00441FD4">
              <w:rPr>
                <w:rFonts w:ascii="Corbel" w:hAnsi="Corbel"/>
                <w:bCs/>
                <w:sz w:val="19"/>
                <w:szCs w:val="19"/>
                <w:lang w:val="sr-Latn-ME"/>
              </w:rPr>
              <w:t>ere ublažavanja, po potrebi za uključivanje u BMP</w:t>
            </w:r>
            <w:r>
              <w:rPr>
                <w:rFonts w:ascii="Corbel" w:hAnsi="Corbel"/>
                <w:bCs/>
                <w:sz w:val="19"/>
                <w:szCs w:val="19"/>
                <w:lang w:val="sr-Latn-ME"/>
              </w:rPr>
              <w:t>.</w:t>
            </w:r>
          </w:p>
          <w:p w14:paraId="01D90F36" w14:textId="24C204E1" w:rsidR="006E1EFD" w:rsidRPr="00703F29" w:rsidRDefault="003F28CD" w:rsidP="003F28CD">
            <w:pPr>
              <w:widowControl w:val="0"/>
              <w:spacing w:before="60" w:after="60"/>
              <w:ind w:left="35" w:right="4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  <w:r w:rsidRPr="003F28CD">
              <w:rPr>
                <w:rFonts w:ascii="Corbel" w:hAnsi="Corbel"/>
                <w:bCs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F292B5B" w14:textId="1169770A" w:rsidR="006E1EFD" w:rsidRPr="00703F29" w:rsidRDefault="00B07635" w:rsidP="003F28CD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>Dopuniti dio koji se odnosi na polazno stanje biodiverziteta,</w:t>
            </w:r>
            <w:r w:rsidR="006E1EFD"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 xml:space="preserve"> kako bi se obuhvatili slatkovodni beskičmenjaci na projektnom </w:t>
            </w:r>
            <w:r w:rsidR="006E1EFD"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lastRenderedPageBreak/>
              <w:t>području</w:t>
            </w:r>
            <w:r w:rsidR="003F28CD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 xml:space="preserve"> (PPA).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97150B9" w14:textId="0D3B777E" w:rsidR="006E1EFD" w:rsidRPr="00703F29" w:rsidRDefault="007F4808" w:rsidP="006E1EFD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lastRenderedPageBreak/>
              <w:t>EBRD UR</w:t>
            </w:r>
            <w:r w:rsidR="006E1EFD" w:rsidRPr="00703F29">
              <w:rPr>
                <w:rFonts w:ascii="Corbel" w:hAnsi="Corbel"/>
                <w:sz w:val="19"/>
                <w:szCs w:val="19"/>
                <w:lang w:val="sr-Latn-ME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B32B421" w14:textId="776FA165" w:rsidR="006E1EFD" w:rsidRPr="00703F29" w:rsidRDefault="006E1EFD" w:rsidP="006E1EFD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Ekspert za ekologiju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335378C" w14:textId="3B05D88C" w:rsidR="006E1EFD" w:rsidRPr="00703F29" w:rsidRDefault="006E1EFD" w:rsidP="003F28CD">
            <w:pPr>
              <w:spacing w:before="60" w:after="60"/>
              <w:ind w:right="57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bCs/>
                <w:sz w:val="19"/>
                <w:szCs w:val="19"/>
                <w:lang w:val="sr-Latn-ME"/>
              </w:rPr>
              <w:t>Ljeto 2020</w:t>
            </w:r>
            <w:r w:rsidR="00B07635" w:rsidRPr="00703F29">
              <w:rPr>
                <w:rFonts w:ascii="Corbel" w:hAnsi="Corbel"/>
                <w:bCs/>
                <w:sz w:val="19"/>
                <w:szCs w:val="19"/>
                <w:lang w:val="sr-Latn-ME"/>
              </w:rPr>
              <w:t>. godine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FFFFFF" w:themeFill="background1"/>
          </w:tcPr>
          <w:p w14:paraId="4BA0BC5E" w14:textId="59BF9D34" w:rsidR="006E1EFD" w:rsidRPr="00703F29" w:rsidRDefault="003F28CD" w:rsidP="003F28CD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  <w:r w:rsidRPr="003F28CD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Nalazi slatkovodnih beskičmenjaka unijeti u </w:t>
            </w:r>
            <w:r w:rsidR="002C162C">
              <w:rPr>
                <w:rFonts w:ascii="Corbel" w:hAnsi="Corbel"/>
                <w:bCs/>
                <w:sz w:val="19"/>
                <w:szCs w:val="19"/>
                <w:lang w:val="sr-Latn-ME"/>
              </w:rPr>
              <w:t>baznu studiju</w:t>
            </w:r>
            <w:r w:rsidRPr="003F28CD">
              <w:rPr>
                <w:rFonts w:ascii="Corbel" w:hAnsi="Corbel"/>
                <w:bCs/>
                <w:sz w:val="19"/>
                <w:szCs w:val="19"/>
                <w:lang w:val="sr-Latn-ME"/>
              </w:rPr>
              <w:t xml:space="preserve"> biodiverziteta.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0673910" w14:textId="77777777" w:rsidR="006E1EFD" w:rsidRPr="00703F29" w:rsidRDefault="006E1EFD" w:rsidP="006E1EFD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5D6FC4" w:rsidRPr="00703F29" w14:paraId="73912365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E88E981" w14:textId="26FEBFB7" w:rsidR="005D6FC4" w:rsidRPr="00703F29" w:rsidRDefault="005D6FC4" w:rsidP="005D6FC4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color w:val="000000"/>
                <w:sz w:val="19"/>
                <w:szCs w:val="19"/>
                <w:lang w:val="sr-Latn-ME"/>
              </w:rPr>
              <w:t>6.4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AA3DA05" w14:textId="33751B43" w:rsidR="00441FD4" w:rsidRDefault="00441FD4" w:rsidP="002C162C">
            <w:pPr>
              <w:widowControl w:val="0"/>
              <w:spacing w:before="60" w:after="60"/>
              <w:ind w:left="35" w:right="41"/>
              <w:jc w:val="both"/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</w:pPr>
            <w:r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>UZS da potvrdi</w:t>
            </w:r>
            <w:r w:rsidRPr="00441FD4"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 xml:space="preserve"> tačnu lokaciju i broj propusta za </w:t>
            </w:r>
            <w:r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>prelaze</w:t>
            </w:r>
            <w:r w:rsidRPr="00441FD4"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 xml:space="preserve"> životinja sa nacionalnim </w:t>
            </w:r>
            <w:r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>ekspertom</w:t>
            </w:r>
            <w:r w:rsidRPr="00441FD4">
              <w:rPr>
                <w:rFonts w:ascii="Corbel" w:hAnsi="Corbel" w:cs="Arial"/>
                <w:color w:val="222222"/>
                <w:sz w:val="19"/>
                <w:szCs w:val="19"/>
                <w:lang w:val="sr-Latn-ME"/>
              </w:rPr>
              <w:t>.</w:t>
            </w:r>
          </w:p>
          <w:p w14:paraId="4572DCFE" w14:textId="2EA3BB46" w:rsidR="005D6FC4" w:rsidRPr="00703F29" w:rsidRDefault="005D6FC4" w:rsidP="002C162C">
            <w:pPr>
              <w:widowControl w:val="0"/>
              <w:spacing w:before="60" w:after="60"/>
              <w:ind w:left="35" w:right="4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94E206" w14:textId="7E05A946" w:rsidR="005D6FC4" w:rsidRPr="00703F29" w:rsidRDefault="005D6FC4" w:rsidP="002C162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 xml:space="preserve">Ublažiti rizike </w:t>
            </w:r>
            <w:r w:rsidR="00B07635"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 xml:space="preserve">projekta, </w:t>
            </w:r>
            <w:r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 xml:space="preserve">povezane sa fragmentacijom staništa i </w:t>
            </w:r>
            <w:r w:rsidR="00B07635" w:rsidRPr="00703F29">
              <w:rPr>
                <w:rFonts w:ascii="Corbel" w:hAnsi="Corbel"/>
                <w:color w:val="222222"/>
                <w:sz w:val="19"/>
                <w:szCs w:val="19"/>
                <w:lang w:val="sr-Latn-ME"/>
              </w:rPr>
              <w:t>udesima.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4AFF3A6" w14:textId="160D9192" w:rsidR="005D6FC4" w:rsidRPr="00703F29" w:rsidRDefault="007F4808" w:rsidP="005D6FC4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EBRD UR</w:t>
            </w:r>
            <w:r w:rsidR="005D6FC4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D22D742" w14:textId="21964976" w:rsidR="005D6FC4" w:rsidRPr="00703F29" w:rsidDel="0089158C" w:rsidRDefault="005D6FC4" w:rsidP="005D6FC4">
            <w:pPr>
              <w:widowControl w:val="0"/>
              <w:spacing w:before="60" w:after="60"/>
              <w:ind w:left="1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Ekspert za ekologiju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CA8E267" w14:textId="3CFA00AD" w:rsidR="005D6FC4" w:rsidRPr="00441FD4" w:rsidRDefault="005D6FC4" w:rsidP="005D6FC4">
            <w:pPr>
              <w:pStyle w:val="paragraph"/>
              <w:spacing w:before="60" w:beforeAutospacing="0" w:after="60" w:afterAutospacing="0"/>
              <w:textAlignment w:val="baseline"/>
              <w:divId w:val="1852839832"/>
              <w:rPr>
                <w:rFonts w:ascii="Segoe UI" w:hAnsi="Segoe UI" w:cs="Segoe UI"/>
                <w:sz w:val="19"/>
                <w:szCs w:val="19"/>
                <w:lang w:val="sr-Latn-ME"/>
              </w:rPr>
            </w:pPr>
            <w:r w:rsidRPr="00441FD4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Prije završetka </w:t>
            </w:r>
            <w:r w:rsidR="00B07635" w:rsidRPr="00441FD4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faze projektovanja.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8B49653" w14:textId="77777777" w:rsidR="005D6FC4" w:rsidRPr="00441FD4" w:rsidRDefault="002C162C" w:rsidP="002C162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  <w:r w:rsidRPr="00441FD4">
              <w:rPr>
                <w:rFonts w:ascii="Corbel" w:hAnsi="Corbel"/>
                <w:bCs/>
                <w:sz w:val="19"/>
                <w:szCs w:val="19"/>
                <w:lang w:val="sr-Latn-ME"/>
              </w:rPr>
              <w:t>Izvještaj o rezultatima istraživanja i preporuke unešene u ESIA studiji, finalnom Projektu i ugovorima izvođenje građevinskih radova.</w:t>
            </w:r>
          </w:p>
          <w:p w14:paraId="424B004A" w14:textId="77777777" w:rsidR="002C162C" w:rsidRPr="00441FD4" w:rsidRDefault="002C162C" w:rsidP="002C162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</w:p>
          <w:p w14:paraId="26028B1F" w14:textId="12F7AA3F" w:rsidR="002C162C" w:rsidRPr="00441FD4" w:rsidRDefault="002C162C" w:rsidP="002C162C">
            <w:pPr>
              <w:widowControl w:val="0"/>
              <w:spacing w:before="60" w:after="60"/>
              <w:ind w:left="1"/>
              <w:jc w:val="both"/>
              <w:rPr>
                <w:rFonts w:ascii="Corbel" w:hAnsi="Corbel"/>
                <w:bCs/>
                <w:sz w:val="19"/>
                <w:szCs w:val="19"/>
                <w:lang w:val="sr-Latn-ME"/>
              </w:rPr>
            </w:pP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A9FE7EC" w14:textId="2526787E" w:rsidR="005D6FC4" w:rsidRPr="00703F29" w:rsidRDefault="005D6FC4" w:rsidP="005D6FC4">
            <w:pPr>
              <w:spacing w:before="60" w:after="60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3A7A44" w:rsidRPr="00703F29" w14:paraId="2A3A16B8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49E45288" w14:textId="7F3EE250" w:rsidR="003A7A44" w:rsidRPr="00703F29" w:rsidRDefault="005D6FC4" w:rsidP="003A7A44">
            <w:pPr>
              <w:spacing w:before="60" w:after="60"/>
              <w:ind w:right="107"/>
              <w:jc w:val="center"/>
              <w:rPr>
                <w:rFonts w:ascii="Corbel" w:hAnsi="Corbel"/>
                <w:b/>
                <w:color w:val="00539B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UR</w:t>
            </w:r>
            <w:r w:rsidR="003A7A44"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8</w:t>
            </w:r>
          </w:p>
        </w:tc>
        <w:tc>
          <w:tcPr>
            <w:tcW w:w="14464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</w:tcPr>
          <w:p w14:paraId="573F15F4" w14:textId="225AC29D" w:rsidR="003A7A44" w:rsidRPr="00703F29" w:rsidRDefault="005D6FC4" w:rsidP="003A7A4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Kulturna baština</w:t>
            </w:r>
          </w:p>
        </w:tc>
      </w:tr>
      <w:tr w:rsidR="005D6FC4" w:rsidRPr="00703F29" w14:paraId="54664CDC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1866BF6" w14:textId="77777777" w:rsidR="005D6FC4" w:rsidRPr="00703F29" w:rsidRDefault="005D6FC4" w:rsidP="005D6FC4">
            <w:pPr>
              <w:spacing w:before="60" w:after="60"/>
              <w:ind w:right="107"/>
              <w:jc w:val="center"/>
              <w:rPr>
                <w:rFonts w:ascii="Corbel" w:hAnsi="Corbel"/>
                <w:b/>
                <w:color w:val="00539B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8.1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A2383F" w14:textId="77777777" w:rsidR="005D6FC4" w:rsidRPr="00703F29" w:rsidRDefault="005D6FC4" w:rsidP="005D6FC4">
            <w:pPr>
              <w:widowControl w:val="0"/>
              <w:spacing w:before="60" w:after="60"/>
              <w:ind w:left="4"/>
              <w:rPr>
                <w:rFonts w:ascii="Corbel" w:eastAsia="Times New Roman" w:hAnsi="Corbel" w:cs="Arial"/>
                <w:b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sz w:val="19"/>
                <w:szCs w:val="19"/>
                <w:u w:val="single"/>
                <w:lang w:val="sr-Latn-ME"/>
              </w:rPr>
              <w:t>Procedura slučajnih arheoloških nalaza</w:t>
            </w:r>
          </w:p>
          <w:p w14:paraId="0B548D00" w14:textId="77777777" w:rsidR="005D6FC4" w:rsidRPr="00703F29" w:rsidRDefault="005D6FC4" w:rsidP="002C162C">
            <w:pPr>
              <w:jc w:val="both"/>
              <w:rPr>
                <w:rFonts w:ascii="Corbel" w:eastAsia="Times New Roman" w:hAnsi="Corbel" w:cs="Arial"/>
                <w:bCs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sz w:val="19"/>
                <w:szCs w:val="19"/>
                <w:lang w:val="sr-Latn-ME"/>
              </w:rPr>
              <w:t>UZS zahtijeva od izvođača da razvije i primijeni proceduru za slučajne arheološke nalaze.</w:t>
            </w:r>
          </w:p>
          <w:p w14:paraId="6CE86B0C" w14:textId="7509D7A1" w:rsidR="005D6FC4" w:rsidRPr="00703F29" w:rsidRDefault="005D6FC4" w:rsidP="005D6FC4">
            <w:pPr>
              <w:widowControl w:val="0"/>
              <w:spacing w:before="60" w:after="60"/>
              <w:ind w:left="4"/>
              <w:rPr>
                <w:rFonts w:ascii="Corbel" w:eastAsia="Times New Roman" w:hAnsi="Corbel" w:cs="Arial"/>
                <w:bCs/>
                <w:sz w:val="19"/>
                <w:szCs w:val="19"/>
                <w:lang w:val="sr-Latn-ME"/>
              </w:rPr>
            </w:pP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B5F8B6B" w14:textId="016F9851" w:rsidR="005D6FC4" w:rsidRPr="00703F29" w:rsidRDefault="005D6FC4" w:rsidP="002C162C">
            <w:pPr>
              <w:widowControl w:val="0"/>
              <w:spacing w:before="60" w:after="60"/>
              <w:ind w:left="4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Omoguć</w:t>
            </w:r>
            <w:r w:rsidR="00A7742C" w:rsidRPr="00703F29">
              <w:rPr>
                <w:rFonts w:ascii="Corbel" w:hAnsi="Corbel"/>
                <w:sz w:val="19"/>
                <w:szCs w:val="19"/>
                <w:lang w:val="sr-Latn-ME"/>
              </w:rPr>
              <w:t>ava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 xml:space="preserve"> čuvanje neočekivanih nalaza zbog budućeg ispitivanja 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FF2058B" w14:textId="0E884E67" w:rsidR="005D6FC4" w:rsidRPr="00703F29" w:rsidRDefault="005B36CF" w:rsidP="005D6FC4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EBRD UR</w:t>
            </w:r>
            <w:r w:rsidR="005D6FC4" w:rsidRPr="00703F29">
              <w:rPr>
                <w:rFonts w:ascii="Corbel" w:hAnsi="Corbel"/>
                <w:sz w:val="19"/>
                <w:szCs w:val="19"/>
                <w:lang w:val="sr-Latn-ME"/>
              </w:rPr>
              <w:t>8</w:t>
            </w:r>
          </w:p>
          <w:p w14:paraId="0B745C9E" w14:textId="52CB6855" w:rsidR="005D6FC4" w:rsidRPr="00703F29" w:rsidRDefault="005D6FC4" w:rsidP="005D6FC4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Nacionalno zakonodavstvo.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A11DD96" w14:textId="055708F8" w:rsidR="005D6FC4" w:rsidRPr="00703F29" w:rsidRDefault="005D6FC4" w:rsidP="005D6FC4">
            <w:pPr>
              <w:widowControl w:val="0"/>
              <w:spacing w:before="60" w:after="60"/>
              <w:ind w:left="4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t>Resursi izvođača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A6E8234" w14:textId="4B9097A0" w:rsidR="005D6FC4" w:rsidRPr="00703F29" w:rsidRDefault="005D6FC4" w:rsidP="002C162C">
            <w:pPr>
              <w:widowControl w:val="0"/>
              <w:spacing w:before="60" w:after="60"/>
              <w:ind w:left="4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sz w:val="19"/>
                <w:szCs w:val="19"/>
                <w:lang w:val="sr-Latn-ME"/>
              </w:rPr>
              <w:t>Prije početka izgradnje.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86065E" w14:textId="2EF3E83A" w:rsidR="005D6FC4" w:rsidRPr="00703F29" w:rsidRDefault="005D6FC4" w:rsidP="002C162C">
            <w:pPr>
              <w:widowControl w:val="0"/>
              <w:spacing w:before="60" w:after="60"/>
              <w:ind w:left="4"/>
              <w:jc w:val="both"/>
              <w:rPr>
                <w:rFonts w:ascii="Corbel" w:hAnsi="Corbel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bCs/>
                <w:sz w:val="19"/>
                <w:szCs w:val="19"/>
                <w:lang w:val="sr-Latn-ME"/>
              </w:rPr>
              <w:t>Procedura za slučajne arheološke nalaze.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CAF1932" w14:textId="77777777" w:rsidR="005D6FC4" w:rsidRPr="00703F29" w:rsidRDefault="005D6FC4" w:rsidP="005D6FC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tr w:rsidR="003A7A44" w:rsidRPr="00703F29" w14:paraId="5E46BDA2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739F6883" w14:textId="4344A98F" w:rsidR="003A7A44" w:rsidRPr="00703F29" w:rsidRDefault="00174709" w:rsidP="003A7A44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U</w:t>
            </w:r>
            <w:r w:rsidR="003A7A44"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 xml:space="preserve">R10 </w:t>
            </w:r>
          </w:p>
        </w:tc>
        <w:tc>
          <w:tcPr>
            <w:tcW w:w="14464" w:type="dxa"/>
            <w:gridSpan w:val="10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  <w:shd w:val="clear" w:color="auto" w:fill="DEEAF6"/>
            <w:vAlign w:val="center"/>
          </w:tcPr>
          <w:p w14:paraId="45796C91" w14:textId="0BE15EC7" w:rsidR="003A7A44" w:rsidRPr="00703F29" w:rsidRDefault="005D6FC4" w:rsidP="003A7A44">
            <w:pPr>
              <w:spacing w:before="60" w:after="60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b/>
                <w:color w:val="00539B"/>
                <w:sz w:val="19"/>
                <w:szCs w:val="19"/>
                <w:lang w:val="sr-Latn-ME"/>
              </w:rPr>
              <w:t>Objavljivanje informacija i uključivanje zainteresovanih strana</w:t>
            </w:r>
          </w:p>
        </w:tc>
      </w:tr>
      <w:tr w:rsidR="005D6FC4" w:rsidRPr="00703F29" w14:paraId="53735F60" w14:textId="77777777" w:rsidTr="001610B3">
        <w:trPr>
          <w:trHeight w:val="374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E5CA37" w14:textId="79E30B97" w:rsidR="005D6FC4" w:rsidRPr="00703F29" w:rsidRDefault="005D6FC4" w:rsidP="005D6FC4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10.1 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26E5809" w14:textId="77777777" w:rsidR="005D6FC4" w:rsidRPr="00703F29" w:rsidRDefault="005D6FC4" w:rsidP="005D6FC4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 xml:space="preserve">Angažovanje zainteresovanih strana </w:t>
            </w:r>
          </w:p>
          <w:p w14:paraId="2E340280" w14:textId="2B97C35D" w:rsidR="005D6FC4" w:rsidRPr="00703F29" w:rsidRDefault="005D6FC4" w:rsidP="002C162C">
            <w:pPr>
              <w:spacing w:before="60" w:after="60"/>
              <w:ind w:left="1"/>
              <w:jc w:val="both"/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UZS će dalje implementirati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SEP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kao što je predviđeno u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ovom 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dokument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.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Angažovanje zainteresovanih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strana treba sprovesti u skladu sa ažuriranim smjernicama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u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SEP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i ESIA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studiji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, a koji su 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izmijenje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ni 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zbog nametnutih ograničenja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usljed 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pandemije Covid-19.</w:t>
            </w:r>
          </w:p>
          <w:p w14:paraId="1C50A8F1" w14:textId="4B6702B0" w:rsidR="005D6FC4" w:rsidRPr="00703F29" w:rsidRDefault="005D6FC4" w:rsidP="002C162C">
            <w:pPr>
              <w:spacing w:before="60" w:after="60"/>
              <w:ind w:left="1"/>
              <w:jc w:val="both"/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UZS će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angažovati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e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ksperta za socijalna pitanja koji će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ažurira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i implementira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SEP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.</w:t>
            </w:r>
          </w:p>
          <w:p w14:paraId="3C8B7C11" w14:textId="7B5B30D8" w:rsidR="005D6FC4" w:rsidRPr="00703F29" w:rsidRDefault="005D6FC4" w:rsidP="002C162C">
            <w:pPr>
              <w:spacing w:before="60" w:after="60"/>
              <w:ind w:left="1"/>
              <w:jc w:val="both"/>
              <w:rPr>
                <w:rFonts w:ascii="Corbel" w:hAnsi="Corbel" w:cs="Segoe UI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UZS će osigurati da izvođač (i podizvođači) prenesu relevantne elemente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SEP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u njihove planove rada,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što će se prenijeti </w:t>
            </w:r>
            <w:r w:rsidR="002C162C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i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u</w:t>
            </w:r>
            <w:r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 xml:space="preserve"> </w:t>
            </w:r>
            <w:r w:rsidR="00A7742C" w:rsidRPr="00703F29">
              <w:rPr>
                <w:rFonts w:ascii="Corbel" w:hAnsi="Corbel" w:cs="AppleSystemUIFontBold"/>
                <w:bCs/>
                <w:sz w:val="19"/>
                <w:szCs w:val="19"/>
                <w:lang w:val="sr-Latn-ME"/>
              </w:rPr>
              <w:t>ugovorne obaveze.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F3BCA8F" w14:textId="1F7FE2F9" w:rsidR="005D6FC4" w:rsidRPr="00703F29" w:rsidRDefault="002B10FA" w:rsidP="002C162C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Adekvatno informisane z</w:t>
            </w:r>
            <w:r w:rsidR="00A7742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ainteresovane strane (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koje su </w:t>
            </w:r>
            <w:r w:rsidR="00350BC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pod uticajem </w:t>
            </w:r>
            <w:r w:rsidR="00A7742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projekt</w:t>
            </w:r>
            <w:r w:rsidR="00350BC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</w:t>
            </w:r>
            <w:r w:rsidR="00A7742C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)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 predstojećim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projektnim 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aktivnostima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kao i njihovo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učestvov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anje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sprovođenju mjera 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ublažavanj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a 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koje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su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osmišljen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radi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njihove zaštite od uticaja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  <w:p w14:paraId="4E237B15" w14:textId="6FABBD64" w:rsidR="005D6FC4" w:rsidRPr="00703F29" w:rsidRDefault="005D6FC4" w:rsidP="002C162C">
            <w:pPr>
              <w:spacing w:before="60" w:after="60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Novonastal</w:t>
            </w:r>
            <w:r w:rsidR="002B10F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 problemi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mogu biti identifikovan</w:t>
            </w:r>
            <w:r w:rsidR="002B10FA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F310D9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kao i </w:t>
            </w:r>
            <w:r w:rsidR="002C162C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dati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odgovori</w:t>
            </w:r>
            <w:r w:rsidR="00F310D9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na iste,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prije </w:t>
            </w:r>
            <w:r w:rsidR="00F310D9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prije nego eskaliraju.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18F2A44" w14:textId="782E7E3B" w:rsidR="005D6FC4" w:rsidRPr="00703F29" w:rsidRDefault="005B36CF" w:rsidP="005D6FC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EBRD UR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10, G</w:t>
            </w:r>
            <w:r w:rsidR="00A172E2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IP</w:t>
            </w:r>
          </w:p>
          <w:p w14:paraId="4235A57A" w14:textId="6CD28851" w:rsidR="005D6FC4" w:rsidRPr="00703F29" w:rsidRDefault="00F310D9" w:rsidP="002C162C">
            <w:pPr>
              <w:spacing w:before="60" w:after="60"/>
              <w:jc w:val="both"/>
              <w:rPr>
                <w:rFonts w:ascii="Corbel" w:hAnsi="Corbel" w:cs="Segoe UI"/>
                <w:sz w:val="19"/>
                <w:szCs w:val="19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Nacionalno zakonodavstvo (Z</w:t>
            </w:r>
            <w:r w:rsidR="005D6FC4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akon o procjeni uticaja na životnu sredinu (EIA)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)</w:t>
            </w:r>
            <w:r w:rsidR="005D6FC4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70917AD" w14:textId="77777777" w:rsidR="005D6FC4" w:rsidRPr="00703F29" w:rsidRDefault="005D6FC4" w:rsidP="007003B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Budžet za zaposlene, prevoz, nabavku materijala, itd.  </w:t>
            </w:r>
          </w:p>
          <w:p w14:paraId="1447FF93" w14:textId="49927973" w:rsidR="00F310D9" w:rsidRDefault="005D6FC4" w:rsidP="002C162C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hAnsi="Corbel" w:cs="Arial"/>
                <w:color w:val="222222"/>
                <w:sz w:val="19"/>
                <w:szCs w:val="19"/>
                <w:shd w:val="clear" w:color="auto" w:fill="F8F9FA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UZS </w:t>
            </w:r>
            <w:r w:rsidR="00F310D9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e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kspert za socijalna pitanja će </w:t>
            </w:r>
            <w:r w:rsidR="00F310D9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obezbijediti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 </w:t>
            </w:r>
            <w:r w:rsidR="00A722DF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da 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zahtjev</w:t>
            </w:r>
            <w:r w:rsidR="00A722DF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i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 ugovora</w:t>
            </w:r>
            <w:r w:rsidR="00A722DF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 osiguraju 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 implementaciju relevantnih </w:t>
            </w:r>
            <w:r w:rsidR="00F310D9"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aktivnosti </w:t>
            </w:r>
            <w:r w:rsidR="00A722DF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definisanih u SEP</w:t>
            </w:r>
            <w:r w:rsidRPr="00703F29">
              <w:rPr>
                <w:rStyle w:val="eop"/>
                <w:rFonts w:ascii="Corbel" w:hAnsi="Corbel" w:cs="Segoe UI"/>
                <w:sz w:val="19"/>
                <w:szCs w:val="19"/>
                <w:lang w:val="sr-Latn-ME"/>
              </w:rPr>
              <w:t>.</w:t>
            </w:r>
            <w:r w:rsidRPr="00703F29">
              <w:rPr>
                <w:rFonts w:ascii="Corbel" w:hAnsi="Corbel"/>
                <w:sz w:val="19"/>
                <w:szCs w:val="19"/>
                <w:lang w:val="sr-Latn-ME"/>
              </w:rPr>
              <w:br/>
            </w:r>
          </w:p>
          <w:p w14:paraId="134A15A2" w14:textId="1711E35A" w:rsidR="00A722DF" w:rsidRDefault="00A722DF" w:rsidP="002C162C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hAnsi="Corbel" w:cs="Arial"/>
                <w:color w:val="222222"/>
                <w:sz w:val="19"/>
                <w:szCs w:val="19"/>
                <w:shd w:val="clear" w:color="auto" w:fill="F8F9FA"/>
                <w:lang w:val="sr-Latn-ME"/>
              </w:rPr>
            </w:pPr>
            <w:r w:rsidRPr="003F28CD">
              <w:rPr>
                <w:rFonts w:ascii="Corbel" w:hAnsi="Corbel"/>
                <w:sz w:val="19"/>
                <w:szCs w:val="19"/>
                <w:lang w:val="sr-Latn-ME"/>
              </w:rPr>
              <w:t>(Inicijalna podrška u izgradnji kapaciteta za E&amp;S predviđena je kroz pružanje tehničke pomoći UZS u 2020. godini)</w:t>
            </w:r>
          </w:p>
          <w:p w14:paraId="791E56DA" w14:textId="77777777" w:rsidR="00A722DF" w:rsidRPr="00703F29" w:rsidRDefault="00A722DF" w:rsidP="002C162C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hAnsi="Corbel" w:cs="Arial"/>
                <w:color w:val="222222"/>
                <w:sz w:val="19"/>
                <w:szCs w:val="19"/>
                <w:shd w:val="clear" w:color="auto" w:fill="F8F9FA"/>
                <w:lang w:val="sr-Latn-ME"/>
              </w:rPr>
            </w:pPr>
          </w:p>
          <w:p w14:paraId="1CDC0463" w14:textId="5F2E8346" w:rsidR="005D6FC4" w:rsidRPr="00A722DF" w:rsidRDefault="00A722DF" w:rsidP="007003B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hAnsi="Corbel" w:cs="Segoe UI"/>
                <w:sz w:val="19"/>
                <w:szCs w:val="19"/>
                <w:lang w:val="sr-Latn-ME"/>
              </w:rPr>
            </w:pPr>
            <w:r w:rsidRPr="00A722DF">
              <w:rPr>
                <w:rFonts w:ascii="Corbel" w:hAnsi="Corbel" w:cs="Segoe UI"/>
                <w:sz w:val="19"/>
                <w:szCs w:val="19"/>
                <w:lang w:val="sr-Latn-ME"/>
              </w:rPr>
              <w:lastRenderedPageBreak/>
              <w:t xml:space="preserve">Dodatne informacije o amgažmanu zainteresovanih strana, kao i adekvatan odgovor na pandemiju Covid-19 su dostupni na linku: </w:t>
            </w:r>
            <w:hyperlink r:id="rId14" w:history="1">
              <w:r w:rsidRPr="00A722DF">
                <w:rPr>
                  <w:rStyle w:val="Hyperlink"/>
                  <w:rFonts w:ascii="Corbel" w:hAnsi="Corbel" w:cs="Segoe UI"/>
                  <w:sz w:val="19"/>
                  <w:szCs w:val="19"/>
                  <w:lang w:val="sr-Latn-ME"/>
                </w:rPr>
                <w:t>https://ebrd.com/covid19-consultation.pdf</w:t>
              </w:r>
            </w:hyperlink>
          </w:p>
          <w:p w14:paraId="1F1A12C9" w14:textId="6B7FB1FC" w:rsidR="00A722DF" w:rsidRPr="00A722DF" w:rsidRDefault="00A722DF" w:rsidP="007003B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hAnsi="Corbel" w:cs="Segoe UI"/>
                <w:sz w:val="18"/>
                <w:szCs w:val="18"/>
                <w:lang w:val="sr-Latn-ME"/>
              </w:rPr>
            </w:pP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5A84805F" w14:textId="7BD49461" w:rsidR="005D6FC4" w:rsidRPr="00703F29" w:rsidRDefault="00A722DF" w:rsidP="00A722DF">
            <w:pPr>
              <w:spacing w:before="60" w:after="60"/>
              <w:ind w:right="5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lastRenderedPageBreak/>
              <w:t>U potpunosti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usklađen </w:t>
            </w:r>
            <w:r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SEP</w:t>
            </w:r>
            <w:r w:rsidR="005D6FC4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treba ponovo pregledati 2 mjeseca prije početka izgradnje.</w:t>
            </w:r>
          </w:p>
          <w:p w14:paraId="283D94A1" w14:textId="77777777" w:rsidR="005D6FC4" w:rsidRPr="00703F29" w:rsidRDefault="005D6FC4" w:rsidP="00A722DF">
            <w:pPr>
              <w:spacing w:before="60" w:after="60"/>
              <w:ind w:right="57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  <w:p w14:paraId="464F7E37" w14:textId="40671F7F" w:rsidR="005D6FC4" w:rsidRPr="00703F29" w:rsidRDefault="005D6FC4" w:rsidP="00A722DF">
            <w:pPr>
              <w:spacing w:before="60" w:after="60"/>
              <w:jc w:val="both"/>
              <w:rPr>
                <w:rFonts w:ascii="Corbel" w:eastAsia="Times New Roman" w:hAnsi="Corbel" w:cs="Times New Roman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Imple</w:t>
            </w:r>
            <w:r w:rsidR="00A722DF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me</w:t>
            </w:r>
            <w:r w:rsidR="00F310D9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ntacija: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sve faze projekta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152A46B3" w14:textId="6505157A" w:rsidR="005D6FC4" w:rsidRPr="00703F29" w:rsidRDefault="005D6FC4" w:rsidP="00A722D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Odgovarajuć</w:t>
            </w:r>
            <w:r w:rsidR="00A172E2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kvalifikovan </w:t>
            </w:r>
            <w:r w:rsidR="00A172E2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kadar</w:t>
            </w:r>
            <w:r w:rsidR="005B36C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iz ove o</w:t>
            </w:r>
            <w:r w:rsidR="00A722DF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blasti</w:t>
            </w:r>
            <w:r w:rsidR="005B36CF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zapo</w:t>
            </w:r>
            <w:r w:rsidR="00A722DF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slen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prisut</w:t>
            </w:r>
            <w:r w:rsidR="00A172E2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an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na terenu.</w:t>
            </w:r>
          </w:p>
          <w:p w14:paraId="11E6EAC4" w14:textId="77777777" w:rsidR="005D6FC4" w:rsidRPr="00703F29" w:rsidRDefault="005D6FC4" w:rsidP="00A722DF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Pokazatelji identifikuju novonastala pitanja i omogućavaju pravovremene odgovore.</w:t>
            </w:r>
          </w:p>
          <w:p w14:paraId="62C91B58" w14:textId="25D077F9" w:rsidR="005D6FC4" w:rsidRPr="00703F29" w:rsidRDefault="005D6FC4" w:rsidP="00A722D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Style w:val="normaltextrun"/>
                <w:rFonts w:cs="Segoe UI"/>
                <w:lang w:val="sr-Latn-ME"/>
              </w:rPr>
            </w:pP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 xml:space="preserve">Postizanje ciljeva koje definiše </w:t>
            </w:r>
            <w:r w:rsidR="00A722DF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SEP</w:t>
            </w:r>
            <w:r w:rsidRPr="00703F29">
              <w:rPr>
                <w:rStyle w:val="normaltextrun"/>
                <w:rFonts w:ascii="Corbel" w:hAnsi="Corbel" w:cs="Segoe UI"/>
                <w:sz w:val="19"/>
                <w:szCs w:val="19"/>
                <w:lang w:val="sr-Latn-ME"/>
              </w:rPr>
              <w:t>.</w:t>
            </w:r>
          </w:p>
          <w:p w14:paraId="76F51262" w14:textId="56CB8BCD" w:rsidR="005D6FC4" w:rsidRPr="00703F29" w:rsidRDefault="005D6FC4" w:rsidP="00A722D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orbel" w:hAnsi="Corbel" w:cs="AppleSystemUIFont"/>
                <w:sz w:val="19"/>
                <w:szCs w:val="19"/>
                <w:lang w:val="sr-Latn-ME"/>
              </w:rPr>
            </w:pPr>
            <w:r w:rsidRPr="00703F29">
              <w:rPr>
                <w:rFonts w:ascii="Corbel" w:hAnsi="Corbel" w:cs="AppleSystemUIFont"/>
                <w:sz w:val="19"/>
                <w:szCs w:val="19"/>
                <w:lang w:val="sr-Latn-ME"/>
              </w:rPr>
              <w:t xml:space="preserve">Zainteresovana lica su uključena </w:t>
            </w:r>
            <w:r w:rsidR="00A722DF">
              <w:rPr>
                <w:rFonts w:ascii="Corbel" w:hAnsi="Corbel" w:cs="AppleSystemUIFont"/>
                <w:sz w:val="19"/>
                <w:szCs w:val="19"/>
                <w:lang w:val="sr-Latn-ME"/>
              </w:rPr>
              <w:t>na proaktivan i vidljiv način u proces kao što je navedeno u SEP.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2CF3D67" w14:textId="77777777" w:rsidR="005D6FC4" w:rsidRPr="00703F29" w:rsidRDefault="005D6FC4" w:rsidP="005D6FC4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</w:p>
        </w:tc>
      </w:tr>
      <w:tr w:rsidR="00BB5905" w:rsidRPr="00703F29" w14:paraId="554E5759" w14:textId="77777777" w:rsidTr="001610B3">
        <w:trPr>
          <w:trHeight w:val="2221"/>
        </w:trPr>
        <w:tc>
          <w:tcPr>
            <w:tcW w:w="67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250959A5" w14:textId="14D9BC30" w:rsidR="00BB5905" w:rsidRPr="00703F29" w:rsidRDefault="00BB5905" w:rsidP="00BB5905">
            <w:pPr>
              <w:spacing w:before="60" w:after="60"/>
              <w:ind w:right="107"/>
              <w:jc w:val="center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10.2</w:t>
            </w:r>
          </w:p>
        </w:tc>
        <w:tc>
          <w:tcPr>
            <w:tcW w:w="3968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37061EEC" w14:textId="77777777" w:rsidR="00BB5905" w:rsidRPr="00703F29" w:rsidRDefault="00BB5905" w:rsidP="00BB5905">
            <w:pPr>
              <w:spacing w:before="60" w:after="60"/>
              <w:ind w:left="1"/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</w:pPr>
            <w:r w:rsidRPr="00703F29">
              <w:rPr>
                <w:rFonts w:ascii="Corbel" w:eastAsia="Times New Roman" w:hAnsi="Corbel" w:cs="Arial"/>
                <w:b/>
                <w:color w:val="000000"/>
                <w:sz w:val="19"/>
                <w:szCs w:val="19"/>
                <w:u w:val="single"/>
                <w:lang w:val="sr-Latn-ME"/>
              </w:rPr>
              <w:t>Proces upravljanja žalbama (PUŽ)</w:t>
            </w:r>
          </w:p>
          <w:p w14:paraId="00DD0FB7" w14:textId="19FA84F3" w:rsidR="00BB5905" w:rsidRPr="00703F29" w:rsidRDefault="00BB5905" w:rsidP="00993BE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b/>
                <w:bCs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Potpuno implementirati postojeći postupak upravljanja žalbama, uključujući pregled resursa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 angažovanih lica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za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potrebe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PUŽ. </w:t>
            </w:r>
          </w:p>
          <w:p w14:paraId="72C0DFA3" w14:textId="00BC331E" w:rsidR="00BB5905" w:rsidRPr="00703F29" w:rsidRDefault="00BB5905" w:rsidP="00993BE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 w:eastAsia="en-US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Ovo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podrazumijeva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da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UZS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sprovodi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roces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pravljanja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ž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albama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da UZS osigura da izvođači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sprovodi 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PUŽ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posebno za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radnik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.  </w:t>
            </w:r>
          </w:p>
        </w:tc>
        <w:tc>
          <w:tcPr>
            <w:tcW w:w="1731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C50621A" w14:textId="7F1A7E6D" w:rsidR="00BB5905" w:rsidRPr="00703F29" w:rsidRDefault="00BB5905" w:rsidP="00993BEF">
            <w:pPr>
              <w:spacing w:before="60" w:after="60"/>
              <w:jc w:val="both"/>
              <w:rPr>
                <w:rFonts w:ascii="Corbel" w:eastAsia="Times New Roman" w:hAnsi="Corbel" w:cs="Times New Roman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Efektivna mreža povratih informacija postoji kako bi se identifik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ovali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i riješi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li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novonastal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 problem</w:t>
            </w:r>
            <w:r w:rsidR="00993BEF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i </w:t>
            </w:r>
            <w:r w:rsidR="002D47E0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tokom projekta</w:t>
            </w: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62D0833E" w14:textId="62104A67" w:rsidR="00BB5905" w:rsidRPr="00703F29" w:rsidRDefault="005B36CF" w:rsidP="00BB5905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EBRD UR</w:t>
            </w:r>
            <w:r w:rsidR="00BB590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10, G</w:t>
            </w:r>
            <w:r w:rsidR="002963E4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</w:t>
            </w:r>
            <w:r w:rsidR="00BB5905"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IP</w:t>
            </w:r>
          </w:p>
        </w:tc>
        <w:tc>
          <w:tcPr>
            <w:tcW w:w="170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447CED7" w14:textId="02E085D2" w:rsidR="00BB5905" w:rsidRPr="00703F29" w:rsidRDefault="00BB5905" w:rsidP="00BB5905">
            <w:pPr>
              <w:pStyle w:val="paragraph"/>
              <w:spacing w:before="60" w:beforeAutospacing="0" w:after="60" w:afterAutospacing="0"/>
              <w:textAlignment w:val="baseline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703F29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Uključen u </w:t>
            </w:r>
            <w:r w:rsidR="00993BEF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SEP</w:t>
            </w:r>
          </w:p>
        </w:tc>
        <w:tc>
          <w:tcPr>
            <w:tcW w:w="1531" w:type="dxa"/>
            <w:gridSpan w:val="2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01D70ED6" w14:textId="0AAF498B" w:rsidR="00BB5905" w:rsidRPr="00417DC1" w:rsidRDefault="00BB5905" w:rsidP="00993BEF">
            <w:pPr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U toku, ali treba biti </w:t>
            </w:r>
            <w:r w:rsidR="00993BE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što hitnije implementiran.</w:t>
            </w:r>
          </w:p>
        </w:tc>
        <w:tc>
          <w:tcPr>
            <w:tcW w:w="2979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7A5662CD" w14:textId="05EC7A54" w:rsidR="00BB5905" w:rsidRPr="00417DC1" w:rsidRDefault="00350BC0" w:rsidP="00993BE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Proces upravljanja žalbama (PUŽ) prepoznat 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kao pouzdan </w:t>
            </w:r>
            <w:r w:rsidR="00993BE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k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od </w:t>
            </w: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većeg broja zainteresovanih strana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  <w:p w14:paraId="6AEF1365" w14:textId="6028D9B4" w:rsidR="00350BC0" w:rsidRPr="00417DC1" w:rsidRDefault="00BB5905" w:rsidP="00993BEF">
            <w:pPr>
              <w:spacing w:before="60" w:after="60"/>
              <w:ind w:left="1"/>
              <w:jc w:val="both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PUŽ je korišćen kao </w:t>
            </w:r>
            <w:r w:rsidR="00993BE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primarni kanal komunikacije u procesu</w:t>
            </w: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podnošenj</w:t>
            </w:r>
            <w:r w:rsidR="00993BE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a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žalbi</w:t>
            </w:r>
            <w:r w:rsidR="00993BE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2963E4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od strane subjekata pod uticajem projekta.</w:t>
            </w:r>
          </w:p>
          <w:p w14:paraId="3260DD9E" w14:textId="65062062" w:rsidR="00BB5905" w:rsidRPr="00417DC1" w:rsidRDefault="00993BEF" w:rsidP="00993BEF">
            <w:pPr>
              <w:spacing w:before="60" w:after="60"/>
              <w:ind w:left="1"/>
              <w:jc w:val="both"/>
              <w:rPr>
                <w:rFonts w:ascii="Corbel" w:hAnsi="Corbel" w:cs="Segoe UI"/>
                <w:sz w:val="19"/>
                <w:szCs w:val="19"/>
                <w:lang w:val="sr-Latn-ME"/>
              </w:rPr>
            </w:pPr>
            <w:r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Pravovremeno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riješene ž</w:t>
            </w:r>
            <w:r w:rsidR="005B36C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albe </w:t>
            </w:r>
            <w:r w:rsidR="002963E4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na zadovoljstvo strana pod uticajem projekta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, u</w:t>
            </w:r>
            <w:r w:rsidR="005B36CF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 skladu sa </w:t>
            </w:r>
            <w:r w:rsidR="007F4808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UR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 xml:space="preserve">10 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(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Paragraf 28</w:t>
            </w:r>
            <w:r w:rsidR="00350BC0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)</w:t>
            </w:r>
            <w:r w:rsidR="00BB5905" w:rsidRPr="00417DC1"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  <w:t>.</w:t>
            </w:r>
          </w:p>
        </w:tc>
        <w:tc>
          <w:tcPr>
            <w:tcW w:w="1136" w:type="dxa"/>
            <w:tcBorders>
              <w:top w:val="single" w:sz="8" w:space="0" w:color="00539B"/>
              <w:left w:val="single" w:sz="8" w:space="0" w:color="00539B"/>
              <w:bottom w:val="single" w:sz="8" w:space="0" w:color="00539B"/>
              <w:right w:val="single" w:sz="8" w:space="0" w:color="00539B"/>
            </w:tcBorders>
          </w:tcPr>
          <w:p w14:paraId="4922C0E1" w14:textId="77777777" w:rsidR="00BB5905" w:rsidRPr="00703F29" w:rsidRDefault="00BB5905" w:rsidP="00BB5905">
            <w:pPr>
              <w:spacing w:before="60" w:after="60"/>
              <w:ind w:left="1"/>
              <w:rPr>
                <w:rFonts w:ascii="Corbel" w:eastAsia="Times New Roman" w:hAnsi="Corbel" w:cs="Arial"/>
                <w:color w:val="000000"/>
                <w:sz w:val="19"/>
                <w:szCs w:val="19"/>
                <w:lang w:val="sr-Latn-ME"/>
              </w:rPr>
            </w:pPr>
          </w:p>
        </w:tc>
      </w:tr>
      <w:bookmarkEnd w:id="0"/>
    </w:tbl>
    <w:p w14:paraId="2DF913CB" w14:textId="77777777" w:rsidR="004F777D" w:rsidRPr="00703F29" w:rsidRDefault="004F777D" w:rsidP="002B1535">
      <w:pPr>
        <w:spacing w:before="60" w:after="60" w:line="240" w:lineRule="auto"/>
        <w:rPr>
          <w:lang w:val="sr-Latn-ME"/>
        </w:rPr>
      </w:pPr>
    </w:p>
    <w:sectPr w:rsidR="004F777D" w:rsidRPr="00703F29" w:rsidSect="00A46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6A07" w14:textId="77777777" w:rsidR="00835067" w:rsidRDefault="00835067">
      <w:pPr>
        <w:spacing w:after="0" w:line="240" w:lineRule="auto"/>
      </w:pPr>
      <w:r>
        <w:separator/>
      </w:r>
    </w:p>
  </w:endnote>
  <w:endnote w:type="continuationSeparator" w:id="0">
    <w:p w14:paraId="4D110809" w14:textId="77777777" w:rsidR="00835067" w:rsidRDefault="00835067">
      <w:pPr>
        <w:spacing w:after="0" w:line="240" w:lineRule="auto"/>
      </w:pPr>
      <w:r>
        <w:continuationSeparator/>
      </w:r>
    </w:p>
  </w:endnote>
  <w:endnote w:type="continuationNotice" w:id="1">
    <w:p w14:paraId="1A4359A1" w14:textId="77777777" w:rsidR="00835067" w:rsidRDefault="00835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C055" w14:textId="77777777" w:rsidR="00D00626" w:rsidRDefault="00D00626" w:rsidP="00A4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326D7" w14:textId="0D8E5E94" w:rsidR="00D00626" w:rsidRDefault="00835067" w:rsidP="005A1340">
    <w:pPr>
      <w:pStyle w:val="Footer"/>
      <w:ind w:right="360"/>
      <w:jc w:val="center"/>
    </w:pPr>
    <w:fldSimple w:instr=" DOCPROPERTY bjFooterEvenPageDocProperty \* MERGEFORMAT " w:fldLock="1">
      <w:r w:rsidR="00D00626" w:rsidRPr="005A1340">
        <w:rPr>
          <w:rFonts w:ascii="Arial" w:hAnsi="Arial" w:cs="Arial"/>
          <w:color w:val="0000FF"/>
          <w:sz w:val="18"/>
        </w:rPr>
        <w:t>OFFICIAL USE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F4236" w14:textId="41719A99" w:rsidR="00D00626" w:rsidRDefault="00D00626" w:rsidP="00A4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BF3EC" w14:textId="60BD9416" w:rsidR="00D00626" w:rsidRDefault="00D00626" w:rsidP="005A134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46D2" w14:textId="6867B073" w:rsidR="00D00626" w:rsidRDefault="00835067" w:rsidP="005A1340">
    <w:pPr>
      <w:pStyle w:val="Footer"/>
      <w:jc w:val="center"/>
    </w:pPr>
    <w:fldSimple w:instr=" DOCPROPERTY bjFooterFirstPageDocProperty \* MERGEFORMAT " w:fldLock="1">
      <w:r w:rsidR="00D00626" w:rsidRPr="005A1340">
        <w:rPr>
          <w:rFonts w:ascii="Arial" w:hAnsi="Arial" w:cs="Arial"/>
          <w:color w:val="0000FF"/>
          <w:sz w:val="18"/>
        </w:rPr>
        <w:t>OFFICIAL USE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772D2" w14:textId="77777777" w:rsidR="00835067" w:rsidRDefault="00835067">
      <w:pPr>
        <w:spacing w:after="0" w:line="240" w:lineRule="auto"/>
      </w:pPr>
      <w:r>
        <w:separator/>
      </w:r>
    </w:p>
  </w:footnote>
  <w:footnote w:type="continuationSeparator" w:id="0">
    <w:p w14:paraId="3EC7AC2B" w14:textId="77777777" w:rsidR="00835067" w:rsidRDefault="00835067">
      <w:pPr>
        <w:spacing w:after="0" w:line="240" w:lineRule="auto"/>
      </w:pPr>
      <w:r>
        <w:continuationSeparator/>
      </w:r>
    </w:p>
  </w:footnote>
  <w:footnote w:type="continuationNotice" w:id="1">
    <w:p w14:paraId="578625B8" w14:textId="77777777" w:rsidR="00835067" w:rsidRDefault="00835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B23E" w14:textId="26485BA5" w:rsidR="00D00626" w:rsidRDefault="00835067" w:rsidP="005A1340">
    <w:pPr>
      <w:pStyle w:val="Header"/>
      <w:jc w:val="center"/>
    </w:pPr>
    <w:fldSimple w:instr=" DOCPROPERTY bjHeaderEvenPageDocProperty \* MERGEFORMAT " w:fldLock="1">
      <w:r w:rsidR="00D00626" w:rsidRPr="005A1340">
        <w:rPr>
          <w:rFonts w:ascii="Arial" w:hAnsi="Arial" w:cs="Arial"/>
          <w:color w:val="0000FF"/>
          <w:sz w:val="18"/>
        </w:rPr>
        <w:t>OFFICIAL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C429" w14:textId="3D86C535" w:rsidR="00D00626" w:rsidRDefault="007D7C40" w:rsidP="005A1340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238C" w14:textId="43CB0FA5" w:rsidR="00D00626" w:rsidRDefault="00835067" w:rsidP="005A1340">
    <w:pPr>
      <w:pStyle w:val="Header"/>
      <w:jc w:val="center"/>
    </w:pPr>
    <w:fldSimple w:instr=" DOCPROPERTY bjHeaderFirstPageDocProperty \* MERGEFORMAT " w:fldLock="1">
      <w:r w:rsidR="00D00626" w:rsidRPr="005A1340">
        <w:rPr>
          <w:rFonts w:ascii="Arial" w:hAnsi="Arial" w:cs="Arial"/>
          <w:color w:val="0000FF"/>
          <w:sz w:val="18"/>
        </w:rPr>
        <w:t>OFFICIAL USE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F9C"/>
    <w:multiLevelType w:val="hybridMultilevel"/>
    <w:tmpl w:val="4EAEBDDA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31228E1"/>
    <w:multiLevelType w:val="hybridMultilevel"/>
    <w:tmpl w:val="BDE0ACAA"/>
    <w:lvl w:ilvl="0" w:tplc="5EB82222">
      <w:start w:val="3"/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6493"/>
    <w:multiLevelType w:val="hybridMultilevel"/>
    <w:tmpl w:val="65B0A47E"/>
    <w:lvl w:ilvl="0" w:tplc="12D8405E">
      <w:start w:val="1"/>
      <w:numFmt w:val="bullet"/>
      <w:pStyle w:val="ListBullet"/>
      <w:lvlText w:val=""/>
      <w:lvlJc w:val="left"/>
      <w:pPr>
        <w:ind w:left="360" w:hanging="360"/>
      </w:pPr>
      <w:rPr>
        <w:rFonts w:ascii="Wingdings 2" w:hAnsi="Wingdings 2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C95"/>
    <w:multiLevelType w:val="hybridMultilevel"/>
    <w:tmpl w:val="AAA4EDD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765F67AD"/>
    <w:multiLevelType w:val="hybridMultilevel"/>
    <w:tmpl w:val="5F583C4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7D"/>
    <w:rsid w:val="00002B24"/>
    <w:rsid w:val="00010328"/>
    <w:rsid w:val="00027C82"/>
    <w:rsid w:val="0003454F"/>
    <w:rsid w:val="0003663B"/>
    <w:rsid w:val="00037206"/>
    <w:rsid w:val="000401A6"/>
    <w:rsid w:val="000403E4"/>
    <w:rsid w:val="00042393"/>
    <w:rsid w:val="00043961"/>
    <w:rsid w:val="0006244D"/>
    <w:rsid w:val="00066224"/>
    <w:rsid w:val="00076254"/>
    <w:rsid w:val="00082F62"/>
    <w:rsid w:val="00084267"/>
    <w:rsid w:val="000916C9"/>
    <w:rsid w:val="000979B0"/>
    <w:rsid w:val="000B6303"/>
    <w:rsid w:val="000B63C5"/>
    <w:rsid w:val="000C6603"/>
    <w:rsid w:val="000D1262"/>
    <w:rsid w:val="000D72B0"/>
    <w:rsid w:val="000E0A4D"/>
    <w:rsid w:val="000E7B09"/>
    <w:rsid w:val="000F0C95"/>
    <w:rsid w:val="00100BF6"/>
    <w:rsid w:val="00101FD9"/>
    <w:rsid w:val="001128AE"/>
    <w:rsid w:val="00116654"/>
    <w:rsid w:val="001208A8"/>
    <w:rsid w:val="0012352C"/>
    <w:rsid w:val="00126CBB"/>
    <w:rsid w:val="00132CFF"/>
    <w:rsid w:val="0013304C"/>
    <w:rsid w:val="00133FBA"/>
    <w:rsid w:val="00140943"/>
    <w:rsid w:val="0014638E"/>
    <w:rsid w:val="001515A5"/>
    <w:rsid w:val="00152360"/>
    <w:rsid w:val="00157A08"/>
    <w:rsid w:val="001607BF"/>
    <w:rsid w:val="001610B3"/>
    <w:rsid w:val="00163E50"/>
    <w:rsid w:val="00167DE5"/>
    <w:rsid w:val="00170BED"/>
    <w:rsid w:val="00174709"/>
    <w:rsid w:val="00176F08"/>
    <w:rsid w:val="00177B68"/>
    <w:rsid w:val="00180086"/>
    <w:rsid w:val="00181700"/>
    <w:rsid w:val="00191ED1"/>
    <w:rsid w:val="00194D2D"/>
    <w:rsid w:val="001B423C"/>
    <w:rsid w:val="001B45BA"/>
    <w:rsid w:val="001B4C2C"/>
    <w:rsid w:val="001D4EDA"/>
    <w:rsid w:val="001D7516"/>
    <w:rsid w:val="001E055B"/>
    <w:rsid w:val="001E2A2F"/>
    <w:rsid w:val="001E4EC7"/>
    <w:rsid w:val="001E58F2"/>
    <w:rsid w:val="001F40F9"/>
    <w:rsid w:val="001F437A"/>
    <w:rsid w:val="001F4A21"/>
    <w:rsid w:val="001F4BDB"/>
    <w:rsid w:val="001F5DEC"/>
    <w:rsid w:val="002034F7"/>
    <w:rsid w:val="00210369"/>
    <w:rsid w:val="002112FA"/>
    <w:rsid w:val="0021142C"/>
    <w:rsid w:val="0021158E"/>
    <w:rsid w:val="00217384"/>
    <w:rsid w:val="00224CB1"/>
    <w:rsid w:val="00224E39"/>
    <w:rsid w:val="00247708"/>
    <w:rsid w:val="002504FB"/>
    <w:rsid w:val="00254D1E"/>
    <w:rsid w:val="0025689F"/>
    <w:rsid w:val="00275077"/>
    <w:rsid w:val="00275D12"/>
    <w:rsid w:val="00277905"/>
    <w:rsid w:val="00280C08"/>
    <w:rsid w:val="00282B7A"/>
    <w:rsid w:val="00282E36"/>
    <w:rsid w:val="002963E4"/>
    <w:rsid w:val="002B10FA"/>
    <w:rsid w:val="002B1535"/>
    <w:rsid w:val="002B4351"/>
    <w:rsid w:val="002C04B1"/>
    <w:rsid w:val="002C162C"/>
    <w:rsid w:val="002C2043"/>
    <w:rsid w:val="002D1353"/>
    <w:rsid w:val="002D47E0"/>
    <w:rsid w:val="002D7559"/>
    <w:rsid w:val="002E3648"/>
    <w:rsid w:val="002E68D2"/>
    <w:rsid w:val="002E7D34"/>
    <w:rsid w:val="002F162E"/>
    <w:rsid w:val="002F63CC"/>
    <w:rsid w:val="002F67AD"/>
    <w:rsid w:val="00300899"/>
    <w:rsid w:val="00303E45"/>
    <w:rsid w:val="0031224B"/>
    <w:rsid w:val="00325F6E"/>
    <w:rsid w:val="00327139"/>
    <w:rsid w:val="00327772"/>
    <w:rsid w:val="00332B51"/>
    <w:rsid w:val="00335785"/>
    <w:rsid w:val="00340C13"/>
    <w:rsid w:val="00341CD9"/>
    <w:rsid w:val="00350088"/>
    <w:rsid w:val="00350BC0"/>
    <w:rsid w:val="00350E72"/>
    <w:rsid w:val="003522E6"/>
    <w:rsid w:val="0035370F"/>
    <w:rsid w:val="00355364"/>
    <w:rsid w:val="00357FB4"/>
    <w:rsid w:val="00361ADD"/>
    <w:rsid w:val="00364CCC"/>
    <w:rsid w:val="00364CD4"/>
    <w:rsid w:val="0037329D"/>
    <w:rsid w:val="0038321B"/>
    <w:rsid w:val="00394A85"/>
    <w:rsid w:val="003A092E"/>
    <w:rsid w:val="003A4298"/>
    <w:rsid w:val="003A7404"/>
    <w:rsid w:val="003A7A44"/>
    <w:rsid w:val="003B0DD4"/>
    <w:rsid w:val="003B685B"/>
    <w:rsid w:val="003C175E"/>
    <w:rsid w:val="003C6125"/>
    <w:rsid w:val="003D1F6E"/>
    <w:rsid w:val="003D6D27"/>
    <w:rsid w:val="003E3407"/>
    <w:rsid w:val="003E429B"/>
    <w:rsid w:val="003F28CD"/>
    <w:rsid w:val="00401AD1"/>
    <w:rsid w:val="004049D8"/>
    <w:rsid w:val="0040652E"/>
    <w:rsid w:val="0041201F"/>
    <w:rsid w:val="00413A06"/>
    <w:rsid w:val="00417208"/>
    <w:rsid w:val="00417D40"/>
    <w:rsid w:val="00417DC1"/>
    <w:rsid w:val="00424069"/>
    <w:rsid w:val="00441FD4"/>
    <w:rsid w:val="0044370F"/>
    <w:rsid w:val="0044733A"/>
    <w:rsid w:val="00450885"/>
    <w:rsid w:val="004512C7"/>
    <w:rsid w:val="00456403"/>
    <w:rsid w:val="004619A0"/>
    <w:rsid w:val="00462DCF"/>
    <w:rsid w:val="00464601"/>
    <w:rsid w:val="004720AE"/>
    <w:rsid w:val="0047435E"/>
    <w:rsid w:val="0048275B"/>
    <w:rsid w:val="00487537"/>
    <w:rsid w:val="004A0A1E"/>
    <w:rsid w:val="004A1F32"/>
    <w:rsid w:val="004A5460"/>
    <w:rsid w:val="004B0B41"/>
    <w:rsid w:val="004B0EED"/>
    <w:rsid w:val="004B2881"/>
    <w:rsid w:val="004B59A1"/>
    <w:rsid w:val="004C1679"/>
    <w:rsid w:val="004C1EB1"/>
    <w:rsid w:val="004D1C70"/>
    <w:rsid w:val="004D2D68"/>
    <w:rsid w:val="004D6030"/>
    <w:rsid w:val="004E3490"/>
    <w:rsid w:val="004E440A"/>
    <w:rsid w:val="004E51C1"/>
    <w:rsid w:val="004F4C82"/>
    <w:rsid w:val="004F51EE"/>
    <w:rsid w:val="004F5776"/>
    <w:rsid w:val="004F5B15"/>
    <w:rsid w:val="004F777D"/>
    <w:rsid w:val="005038C6"/>
    <w:rsid w:val="00503E6B"/>
    <w:rsid w:val="005041E3"/>
    <w:rsid w:val="00507811"/>
    <w:rsid w:val="00511DFF"/>
    <w:rsid w:val="00513826"/>
    <w:rsid w:val="0052107C"/>
    <w:rsid w:val="00524FE5"/>
    <w:rsid w:val="005279EA"/>
    <w:rsid w:val="005318E5"/>
    <w:rsid w:val="005353F2"/>
    <w:rsid w:val="00535E10"/>
    <w:rsid w:val="00542A87"/>
    <w:rsid w:val="00543EB3"/>
    <w:rsid w:val="005448E4"/>
    <w:rsid w:val="00547205"/>
    <w:rsid w:val="005517BF"/>
    <w:rsid w:val="00552758"/>
    <w:rsid w:val="005762BF"/>
    <w:rsid w:val="0058038E"/>
    <w:rsid w:val="00580E88"/>
    <w:rsid w:val="00581029"/>
    <w:rsid w:val="00586B89"/>
    <w:rsid w:val="00594647"/>
    <w:rsid w:val="005A1340"/>
    <w:rsid w:val="005A3DAC"/>
    <w:rsid w:val="005B1F28"/>
    <w:rsid w:val="005B36CF"/>
    <w:rsid w:val="005C57D0"/>
    <w:rsid w:val="005D34CC"/>
    <w:rsid w:val="005D6FC4"/>
    <w:rsid w:val="005D7DEC"/>
    <w:rsid w:val="005E0D65"/>
    <w:rsid w:val="005E242E"/>
    <w:rsid w:val="005F6BF6"/>
    <w:rsid w:val="00604D66"/>
    <w:rsid w:val="006118CA"/>
    <w:rsid w:val="006174FC"/>
    <w:rsid w:val="00621B5C"/>
    <w:rsid w:val="0062415E"/>
    <w:rsid w:val="00641171"/>
    <w:rsid w:val="00652744"/>
    <w:rsid w:val="00653597"/>
    <w:rsid w:val="006574F7"/>
    <w:rsid w:val="00657F37"/>
    <w:rsid w:val="0066622A"/>
    <w:rsid w:val="006669A7"/>
    <w:rsid w:val="00673B0B"/>
    <w:rsid w:val="006861CF"/>
    <w:rsid w:val="0069000F"/>
    <w:rsid w:val="00692A34"/>
    <w:rsid w:val="00694BF9"/>
    <w:rsid w:val="00697767"/>
    <w:rsid w:val="006A5235"/>
    <w:rsid w:val="006B2677"/>
    <w:rsid w:val="006C2618"/>
    <w:rsid w:val="006C4798"/>
    <w:rsid w:val="006D188A"/>
    <w:rsid w:val="006D1D32"/>
    <w:rsid w:val="006D3646"/>
    <w:rsid w:val="006E1EFD"/>
    <w:rsid w:val="006E2AC3"/>
    <w:rsid w:val="006E770E"/>
    <w:rsid w:val="006E7EB6"/>
    <w:rsid w:val="006F0624"/>
    <w:rsid w:val="006F7575"/>
    <w:rsid w:val="007003B8"/>
    <w:rsid w:val="00702F20"/>
    <w:rsid w:val="00703E9D"/>
    <w:rsid w:val="00703F29"/>
    <w:rsid w:val="00706551"/>
    <w:rsid w:val="00714100"/>
    <w:rsid w:val="007176ED"/>
    <w:rsid w:val="00721331"/>
    <w:rsid w:val="00723F8E"/>
    <w:rsid w:val="00727530"/>
    <w:rsid w:val="00727B8F"/>
    <w:rsid w:val="00740376"/>
    <w:rsid w:val="00743A45"/>
    <w:rsid w:val="00745408"/>
    <w:rsid w:val="00755848"/>
    <w:rsid w:val="00764970"/>
    <w:rsid w:val="00767AD5"/>
    <w:rsid w:val="00773382"/>
    <w:rsid w:val="00774468"/>
    <w:rsid w:val="00777D0E"/>
    <w:rsid w:val="00781C2B"/>
    <w:rsid w:val="00781E1A"/>
    <w:rsid w:val="00786376"/>
    <w:rsid w:val="007B4D89"/>
    <w:rsid w:val="007B5794"/>
    <w:rsid w:val="007B686C"/>
    <w:rsid w:val="007B7A1E"/>
    <w:rsid w:val="007C0A5A"/>
    <w:rsid w:val="007C10C8"/>
    <w:rsid w:val="007C41A2"/>
    <w:rsid w:val="007D129D"/>
    <w:rsid w:val="007D7C40"/>
    <w:rsid w:val="007E3D19"/>
    <w:rsid w:val="007E42B5"/>
    <w:rsid w:val="007F4808"/>
    <w:rsid w:val="00804555"/>
    <w:rsid w:val="008072F6"/>
    <w:rsid w:val="00813568"/>
    <w:rsid w:val="008173F1"/>
    <w:rsid w:val="008230FD"/>
    <w:rsid w:val="00823440"/>
    <w:rsid w:val="00823B2D"/>
    <w:rsid w:val="00830748"/>
    <w:rsid w:val="00832150"/>
    <w:rsid w:val="00833045"/>
    <w:rsid w:val="00835067"/>
    <w:rsid w:val="008375C9"/>
    <w:rsid w:val="00841877"/>
    <w:rsid w:val="00846998"/>
    <w:rsid w:val="008509BB"/>
    <w:rsid w:val="00853EE8"/>
    <w:rsid w:val="00854408"/>
    <w:rsid w:val="00856637"/>
    <w:rsid w:val="0085663D"/>
    <w:rsid w:val="008660E2"/>
    <w:rsid w:val="00883BB7"/>
    <w:rsid w:val="00885736"/>
    <w:rsid w:val="00885B44"/>
    <w:rsid w:val="0089158C"/>
    <w:rsid w:val="008A2115"/>
    <w:rsid w:val="008A36D0"/>
    <w:rsid w:val="008A6732"/>
    <w:rsid w:val="008A6C74"/>
    <w:rsid w:val="008B5D15"/>
    <w:rsid w:val="008C27FF"/>
    <w:rsid w:val="008C2B6D"/>
    <w:rsid w:val="008E131B"/>
    <w:rsid w:val="008E4CF8"/>
    <w:rsid w:val="008E5404"/>
    <w:rsid w:val="008F39BB"/>
    <w:rsid w:val="009022A4"/>
    <w:rsid w:val="00903279"/>
    <w:rsid w:val="0091686F"/>
    <w:rsid w:val="00947854"/>
    <w:rsid w:val="00950307"/>
    <w:rsid w:val="00950469"/>
    <w:rsid w:val="00952E4C"/>
    <w:rsid w:val="00957CC8"/>
    <w:rsid w:val="00961553"/>
    <w:rsid w:val="00961914"/>
    <w:rsid w:val="00973D72"/>
    <w:rsid w:val="00986E0A"/>
    <w:rsid w:val="00993BEF"/>
    <w:rsid w:val="00996ACB"/>
    <w:rsid w:val="00997390"/>
    <w:rsid w:val="009A4BF4"/>
    <w:rsid w:val="009A7281"/>
    <w:rsid w:val="009B1D7C"/>
    <w:rsid w:val="009B22A3"/>
    <w:rsid w:val="009B329A"/>
    <w:rsid w:val="009B7197"/>
    <w:rsid w:val="009C35BF"/>
    <w:rsid w:val="009C72E9"/>
    <w:rsid w:val="009D0D41"/>
    <w:rsid w:val="009F6519"/>
    <w:rsid w:val="00A02994"/>
    <w:rsid w:val="00A0414B"/>
    <w:rsid w:val="00A102B8"/>
    <w:rsid w:val="00A172E2"/>
    <w:rsid w:val="00A17458"/>
    <w:rsid w:val="00A211C5"/>
    <w:rsid w:val="00A25F07"/>
    <w:rsid w:val="00A3765A"/>
    <w:rsid w:val="00A442CB"/>
    <w:rsid w:val="00A46B5B"/>
    <w:rsid w:val="00A478BA"/>
    <w:rsid w:val="00A51BA9"/>
    <w:rsid w:val="00A525F7"/>
    <w:rsid w:val="00A55E48"/>
    <w:rsid w:val="00A56C91"/>
    <w:rsid w:val="00A57B02"/>
    <w:rsid w:val="00A64178"/>
    <w:rsid w:val="00A70492"/>
    <w:rsid w:val="00A7148C"/>
    <w:rsid w:val="00A722DF"/>
    <w:rsid w:val="00A758BC"/>
    <w:rsid w:val="00A7742C"/>
    <w:rsid w:val="00A82D06"/>
    <w:rsid w:val="00A90E7D"/>
    <w:rsid w:val="00A90F49"/>
    <w:rsid w:val="00A91B4C"/>
    <w:rsid w:val="00AB6138"/>
    <w:rsid w:val="00AB7EE0"/>
    <w:rsid w:val="00AC1DE2"/>
    <w:rsid w:val="00AC408D"/>
    <w:rsid w:val="00AC4F6D"/>
    <w:rsid w:val="00AD1CCA"/>
    <w:rsid w:val="00AD3B86"/>
    <w:rsid w:val="00AD7D81"/>
    <w:rsid w:val="00AE2B9D"/>
    <w:rsid w:val="00AE5BFB"/>
    <w:rsid w:val="00AE74B0"/>
    <w:rsid w:val="00B00FA2"/>
    <w:rsid w:val="00B019B1"/>
    <w:rsid w:val="00B02270"/>
    <w:rsid w:val="00B02650"/>
    <w:rsid w:val="00B07635"/>
    <w:rsid w:val="00B1139F"/>
    <w:rsid w:val="00B168A1"/>
    <w:rsid w:val="00B211CB"/>
    <w:rsid w:val="00B26997"/>
    <w:rsid w:val="00B31CFF"/>
    <w:rsid w:val="00B32B40"/>
    <w:rsid w:val="00B4169E"/>
    <w:rsid w:val="00B44549"/>
    <w:rsid w:val="00B60B87"/>
    <w:rsid w:val="00B63B8B"/>
    <w:rsid w:val="00B665D5"/>
    <w:rsid w:val="00B67D5B"/>
    <w:rsid w:val="00B72AE2"/>
    <w:rsid w:val="00B73CE1"/>
    <w:rsid w:val="00B753A7"/>
    <w:rsid w:val="00B761EE"/>
    <w:rsid w:val="00B770DB"/>
    <w:rsid w:val="00B82248"/>
    <w:rsid w:val="00B852E3"/>
    <w:rsid w:val="00B91F09"/>
    <w:rsid w:val="00BA04AB"/>
    <w:rsid w:val="00BA221D"/>
    <w:rsid w:val="00BA50B9"/>
    <w:rsid w:val="00BB2682"/>
    <w:rsid w:val="00BB3793"/>
    <w:rsid w:val="00BB3D49"/>
    <w:rsid w:val="00BB3EFC"/>
    <w:rsid w:val="00BB45AF"/>
    <w:rsid w:val="00BB5099"/>
    <w:rsid w:val="00BB5838"/>
    <w:rsid w:val="00BB5905"/>
    <w:rsid w:val="00BC10DD"/>
    <w:rsid w:val="00BC1FD6"/>
    <w:rsid w:val="00BC2C51"/>
    <w:rsid w:val="00BC4DBB"/>
    <w:rsid w:val="00BE5A0B"/>
    <w:rsid w:val="00BE6CCA"/>
    <w:rsid w:val="00BE7B1D"/>
    <w:rsid w:val="00BF1C17"/>
    <w:rsid w:val="00BF2896"/>
    <w:rsid w:val="00BF6A01"/>
    <w:rsid w:val="00C02952"/>
    <w:rsid w:val="00C12DBA"/>
    <w:rsid w:val="00C14F84"/>
    <w:rsid w:val="00C15D40"/>
    <w:rsid w:val="00C23F82"/>
    <w:rsid w:val="00C27244"/>
    <w:rsid w:val="00C35AED"/>
    <w:rsid w:val="00C454DA"/>
    <w:rsid w:val="00C5732D"/>
    <w:rsid w:val="00C622BD"/>
    <w:rsid w:val="00C63D9D"/>
    <w:rsid w:val="00C73B0C"/>
    <w:rsid w:val="00C81170"/>
    <w:rsid w:val="00C821E2"/>
    <w:rsid w:val="00C82CC9"/>
    <w:rsid w:val="00C87AEB"/>
    <w:rsid w:val="00C87CB0"/>
    <w:rsid w:val="00C94AD8"/>
    <w:rsid w:val="00CC1805"/>
    <w:rsid w:val="00CC72CB"/>
    <w:rsid w:val="00CD5BA0"/>
    <w:rsid w:val="00CE0BF8"/>
    <w:rsid w:val="00CE361F"/>
    <w:rsid w:val="00CE754A"/>
    <w:rsid w:val="00CE7595"/>
    <w:rsid w:val="00CF500C"/>
    <w:rsid w:val="00CF5080"/>
    <w:rsid w:val="00CF53D7"/>
    <w:rsid w:val="00CF64EC"/>
    <w:rsid w:val="00D00626"/>
    <w:rsid w:val="00D03178"/>
    <w:rsid w:val="00D05C69"/>
    <w:rsid w:val="00D1085B"/>
    <w:rsid w:val="00D12784"/>
    <w:rsid w:val="00D147ED"/>
    <w:rsid w:val="00D2091C"/>
    <w:rsid w:val="00D20DB0"/>
    <w:rsid w:val="00D223E8"/>
    <w:rsid w:val="00D23D2D"/>
    <w:rsid w:val="00D347D7"/>
    <w:rsid w:val="00D43F01"/>
    <w:rsid w:val="00D538F5"/>
    <w:rsid w:val="00D55CC2"/>
    <w:rsid w:val="00D64BBD"/>
    <w:rsid w:val="00D726E9"/>
    <w:rsid w:val="00D7514F"/>
    <w:rsid w:val="00D767EF"/>
    <w:rsid w:val="00D81F7B"/>
    <w:rsid w:val="00D837B1"/>
    <w:rsid w:val="00D91D1F"/>
    <w:rsid w:val="00D96663"/>
    <w:rsid w:val="00D96F7D"/>
    <w:rsid w:val="00DA061B"/>
    <w:rsid w:val="00DA1132"/>
    <w:rsid w:val="00DA3386"/>
    <w:rsid w:val="00DB0FEA"/>
    <w:rsid w:val="00DD152B"/>
    <w:rsid w:val="00DD5D81"/>
    <w:rsid w:val="00DD689D"/>
    <w:rsid w:val="00DF391B"/>
    <w:rsid w:val="00E10517"/>
    <w:rsid w:val="00E124AF"/>
    <w:rsid w:val="00E124F0"/>
    <w:rsid w:val="00E13521"/>
    <w:rsid w:val="00E17F92"/>
    <w:rsid w:val="00E20195"/>
    <w:rsid w:val="00E2019A"/>
    <w:rsid w:val="00E2035F"/>
    <w:rsid w:val="00E2046F"/>
    <w:rsid w:val="00E21B1F"/>
    <w:rsid w:val="00E27676"/>
    <w:rsid w:val="00E36393"/>
    <w:rsid w:val="00E37A1B"/>
    <w:rsid w:val="00E40D35"/>
    <w:rsid w:val="00E55149"/>
    <w:rsid w:val="00E55CB6"/>
    <w:rsid w:val="00E610D3"/>
    <w:rsid w:val="00E624C6"/>
    <w:rsid w:val="00E63D50"/>
    <w:rsid w:val="00E64140"/>
    <w:rsid w:val="00E6607F"/>
    <w:rsid w:val="00E66218"/>
    <w:rsid w:val="00E7316A"/>
    <w:rsid w:val="00E74887"/>
    <w:rsid w:val="00E820C8"/>
    <w:rsid w:val="00E822E8"/>
    <w:rsid w:val="00E82A5E"/>
    <w:rsid w:val="00E9078F"/>
    <w:rsid w:val="00E915CF"/>
    <w:rsid w:val="00E95FE4"/>
    <w:rsid w:val="00E96F94"/>
    <w:rsid w:val="00EA1047"/>
    <w:rsid w:val="00EA20DC"/>
    <w:rsid w:val="00EA282D"/>
    <w:rsid w:val="00EA65DA"/>
    <w:rsid w:val="00EA688E"/>
    <w:rsid w:val="00EB3FF9"/>
    <w:rsid w:val="00EC5902"/>
    <w:rsid w:val="00ED3325"/>
    <w:rsid w:val="00ED4A00"/>
    <w:rsid w:val="00ED5A95"/>
    <w:rsid w:val="00EE0DD6"/>
    <w:rsid w:val="00EE455D"/>
    <w:rsid w:val="00EF3A4E"/>
    <w:rsid w:val="00EF3EF1"/>
    <w:rsid w:val="00F02085"/>
    <w:rsid w:val="00F12348"/>
    <w:rsid w:val="00F242AA"/>
    <w:rsid w:val="00F2431D"/>
    <w:rsid w:val="00F310D9"/>
    <w:rsid w:val="00F331C2"/>
    <w:rsid w:val="00F33864"/>
    <w:rsid w:val="00F45BB7"/>
    <w:rsid w:val="00F535C3"/>
    <w:rsid w:val="00F53706"/>
    <w:rsid w:val="00F5584E"/>
    <w:rsid w:val="00F724B9"/>
    <w:rsid w:val="00F737EC"/>
    <w:rsid w:val="00F74D5B"/>
    <w:rsid w:val="00F76985"/>
    <w:rsid w:val="00F80EE2"/>
    <w:rsid w:val="00F837A0"/>
    <w:rsid w:val="00F8749E"/>
    <w:rsid w:val="00F97DDB"/>
    <w:rsid w:val="00FB113E"/>
    <w:rsid w:val="00FB3EA2"/>
    <w:rsid w:val="00FB6B0E"/>
    <w:rsid w:val="00FC4584"/>
    <w:rsid w:val="00FD77DE"/>
    <w:rsid w:val="00FE12A5"/>
    <w:rsid w:val="00FE522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E116CF"/>
  <w15:docId w15:val="{D69FD6BB-D8BD-403D-AD87-F131831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777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4F777D"/>
    <w:pPr>
      <w:ind w:left="720"/>
      <w:contextualSpacing/>
    </w:p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4F777D"/>
  </w:style>
  <w:style w:type="paragraph" w:customStyle="1" w:styleId="paragraph">
    <w:name w:val="paragraph"/>
    <w:basedOn w:val="Normal"/>
    <w:rsid w:val="004F77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4F777D"/>
  </w:style>
  <w:style w:type="character" w:customStyle="1" w:styleId="eop">
    <w:name w:val="eop"/>
    <w:basedOn w:val="DefaultParagraphFont"/>
    <w:rsid w:val="004F777D"/>
  </w:style>
  <w:style w:type="paragraph" w:styleId="Footer">
    <w:name w:val="footer"/>
    <w:basedOn w:val="Normal"/>
    <w:link w:val="FooterChar"/>
    <w:uiPriority w:val="99"/>
    <w:unhideWhenUsed/>
    <w:rsid w:val="004F77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7D"/>
  </w:style>
  <w:style w:type="character" w:styleId="PageNumber">
    <w:name w:val="page number"/>
    <w:basedOn w:val="DefaultParagraphFont"/>
    <w:uiPriority w:val="99"/>
    <w:semiHidden/>
    <w:unhideWhenUsed/>
    <w:rsid w:val="004F777D"/>
  </w:style>
  <w:style w:type="paragraph" w:styleId="CommentText">
    <w:name w:val="annotation text"/>
    <w:basedOn w:val="Normal"/>
    <w:link w:val="CommentTextChar"/>
    <w:uiPriority w:val="99"/>
    <w:unhideWhenUsed/>
    <w:rsid w:val="004F7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77D"/>
    <w:rPr>
      <w:sz w:val="20"/>
      <w:szCs w:val="20"/>
    </w:rPr>
  </w:style>
  <w:style w:type="paragraph" w:styleId="ListBullet">
    <w:name w:val="List Bullet"/>
    <w:aliases w:val="List Bullet Indent"/>
    <w:basedOn w:val="Normal"/>
    <w:uiPriority w:val="99"/>
    <w:qFormat/>
    <w:rsid w:val="004F777D"/>
    <w:pPr>
      <w:numPr>
        <w:numId w:val="3"/>
      </w:numPr>
      <w:spacing w:after="120" w:line="240" w:lineRule="auto"/>
      <w:contextualSpacing/>
    </w:pPr>
    <w:rPr>
      <w:rFonts w:ascii="Arial" w:hAnsi="Arial"/>
      <w:color w:val="44546A" w:themeColor="text2"/>
      <w:sz w:val="20"/>
    </w:rPr>
  </w:style>
  <w:style w:type="paragraph" w:customStyle="1" w:styleId="EANormal">
    <w:name w:val="EA Normal"/>
    <w:basedOn w:val="Normal"/>
    <w:qFormat/>
    <w:rsid w:val="00FB6B0E"/>
    <w:pPr>
      <w:spacing w:after="240" w:line="240" w:lineRule="auto"/>
      <w:jc w:val="both"/>
    </w:pPr>
    <w:rPr>
      <w:rFonts w:ascii="Corbel" w:eastAsia="Times New Roman" w:hAnsi="Corbel" w:cs="Calibri Light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3578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B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3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5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0A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A1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A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brd.com/covid19-workplac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brd.com/sustainability-covid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brd.com/covid19-consultat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DF6518B3A04BB2054AC1B957E8E0" ma:contentTypeVersion="13" ma:contentTypeDescription="Create a new document." ma:contentTypeScope="" ma:versionID="71642ae79beed843c0de132872e0e977">
  <xsd:schema xmlns:xsd="http://www.w3.org/2001/XMLSchema" xmlns:xs="http://www.w3.org/2001/XMLSchema" xmlns:p="http://schemas.microsoft.com/office/2006/metadata/properties" xmlns:ns3="835763ce-2344-431a-9381-24115c64eed0" xmlns:ns4="77c798de-6585-42ec-a923-cfb7243b8985" targetNamespace="http://schemas.microsoft.com/office/2006/metadata/properties" ma:root="true" ma:fieldsID="241a5d07d5ea9942722e18405f9a6cb8" ns3:_="" ns4:_="">
    <xsd:import namespace="835763ce-2344-431a-9381-24115c64eed0"/>
    <xsd:import namespace="77c798de-6585-42ec-a923-cfb7243b8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63ce-2344-431a-9381-24115c64e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98de-6585-42ec-a923-cfb7243b8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744C6-F306-4839-B402-56F990FE7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3392F-5C33-458D-B9BC-1B2C61E3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763ce-2344-431a-9381-24115c64eed0"/>
    <ds:schemaRef ds:uri="77c798de-6585-42ec-a923-cfb7243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BDC25-F21D-48F5-B33B-1C8FA114472D}">
  <ds:schemaRefs>
    <ds:schemaRef ds:uri="835763ce-2344-431a-9381-24115c64eed0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7c798de-6585-42ec-a923-cfb7243b8985"/>
  </ds:schemaRefs>
</ds:datastoreItem>
</file>

<file path=customXml/itemProps4.xml><?xml version="1.0" encoding="utf-8"?>
<ds:datastoreItem xmlns:ds="http://schemas.openxmlformats.org/officeDocument/2006/customXml" ds:itemID="{7AEBFC9B-9BBE-48A0-AECD-484970F525E8}"/>
</file>

<file path=customXml/itemProps5.xml><?xml version="1.0" encoding="utf-8"?>
<ds:datastoreItem xmlns:ds="http://schemas.openxmlformats.org/officeDocument/2006/customXml" ds:itemID="{69B45CCB-6E56-420C-B87A-D08C0228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Murfitt</dc:creator>
  <cp:keywords>[EBRD/OFFICIAL USE]</cp:keywords>
  <dc:description/>
  <cp:lastModifiedBy>Tom McArthur</cp:lastModifiedBy>
  <cp:revision>2</cp:revision>
  <cp:lastPrinted>2020-07-28T15:38:00Z</cp:lastPrinted>
  <dcterms:created xsi:type="dcterms:W3CDTF">2020-08-05T08:47:00Z</dcterms:created>
  <dcterms:modified xsi:type="dcterms:W3CDTF">2020-08-05T08:47:00Z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0x010100AFD7DF6518B3A04BB2054AC1B957E8E0</vt:lpwstr>
  </property>
  <property fmtid="{D5CDD505-2E9C-101B-9397-08002B2CF9AE}" pid="3" name="docIndexRef">
    <vt:lpwstr>9305980f-472b-42e0-8f3d-d370efb69fe4</vt:lpwstr>
  </property>
  <property fmtid="{D5CDD505-2E9C-101B-9397-08002B2CF9AE}" pid="4" name="bjSaver">
    <vt:lpwstr>k1bH5bvm6Pnj4YJpYqVDM27Xx4PsfuLR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6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7" name="bjDocumentSecurityLabel">
    <vt:lpwstr>OFFICIAL USE</vt:lpwstr>
  </property>
  <property fmtid="{D5CDD505-2E9C-101B-9397-08002B2CF9AE}" pid="8" name="bjHeaderBothDocProperty">
    <vt:lpwstr>OFFICIAL USE</vt:lpwstr>
  </property>
  <property fmtid="{D5CDD505-2E9C-101B-9397-08002B2CF9AE}" pid="9" name="bjHeaderFirstPageDocProperty">
    <vt:lpwstr>OFFICIAL USE</vt:lpwstr>
  </property>
  <property fmtid="{D5CDD505-2E9C-101B-9397-08002B2CF9AE}" pid="10" name="bjHeaderEvenPageDocProperty">
    <vt:lpwstr>OFFICIAL USE</vt:lpwstr>
  </property>
  <property fmtid="{D5CDD505-2E9C-101B-9397-08002B2CF9AE}" pid="11" name="bjFooterBothDocProperty">
    <vt:lpwstr>OFFICIAL USE</vt:lpwstr>
  </property>
  <property fmtid="{D5CDD505-2E9C-101B-9397-08002B2CF9AE}" pid="12" name="bjFooterFirstPageDocProperty">
    <vt:lpwstr>OFFICIAL USE</vt:lpwstr>
  </property>
  <property fmtid="{D5CDD505-2E9C-101B-9397-08002B2CF9AE}" pid="13" name="bjFooterEvenPageDocProperty">
    <vt:lpwstr>OFFICIAL USE</vt:lpwstr>
  </property>
</Properties>
</file>